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11"/>
        <w:tblW w:w="9889" w:type="dxa"/>
        <w:tblInd w:w="-108" w:type="dxa"/>
        <w:tblBorders>
          <w:top w:val="single" w:sz="4" w:space="0" w:color="000000"/>
          <w:left w:val="nil"/>
          <w:bottom w:val="single" w:sz="18" w:space="0" w:color="000000"/>
          <w:right w:val="nil"/>
          <w:insideH w:val="nil"/>
          <w:insideV w:val="nil"/>
        </w:tblBorders>
        <w:tblLayout w:type="fixed"/>
        <w:tblLook w:val="0400" w:firstRow="0" w:lastRow="0" w:firstColumn="0" w:lastColumn="0" w:noHBand="0" w:noVBand="1"/>
      </w:tblPr>
      <w:tblGrid>
        <w:gridCol w:w="1452"/>
        <w:gridCol w:w="8437"/>
      </w:tblGrid>
      <w:tr w:rsidR="009B1347" w14:paraId="32BBEAD4" w14:textId="77777777" w:rsidTr="00AE35D3">
        <w:tc>
          <w:tcPr>
            <w:tcW w:w="1452" w:type="dxa"/>
          </w:tcPr>
          <w:p w14:paraId="7DE44058" w14:textId="77777777" w:rsidR="009B1347" w:rsidRDefault="009B1347" w:rsidP="00AE35D3">
            <w:pPr>
              <w:pBdr>
                <w:top w:val="nil"/>
                <w:left w:val="nil"/>
                <w:bottom w:val="nil"/>
                <w:right w:val="nil"/>
                <w:between w:val="nil"/>
              </w:pBdr>
              <w:tabs>
                <w:tab w:val="center" w:pos="4680"/>
                <w:tab w:val="right" w:pos="9360"/>
              </w:tabs>
              <w:jc w:val="center"/>
              <w:rPr>
                <w:color w:val="000000"/>
              </w:rPr>
            </w:pPr>
            <w:bookmarkStart w:id="0" w:name="_cct7b413cfk6" w:colFirst="0" w:colLast="0"/>
            <w:bookmarkEnd w:id="0"/>
            <w:r>
              <w:rPr>
                <w:noProof/>
              </w:rPr>
              <w:drawing>
                <wp:anchor distT="0" distB="0" distL="114300" distR="114300" simplePos="0" relativeHeight="251659264" behindDoc="0" locked="0" layoutInCell="1" hidden="0" allowOverlap="1" wp14:anchorId="277EB07F" wp14:editId="4245D280">
                  <wp:simplePos x="0" y="0"/>
                  <wp:positionH relativeFrom="column">
                    <wp:posOffset>-71752</wp:posOffset>
                  </wp:positionH>
                  <wp:positionV relativeFrom="paragraph">
                    <wp:posOffset>86554</wp:posOffset>
                  </wp:positionV>
                  <wp:extent cx="1094154" cy="1070708"/>
                  <wp:effectExtent l="0" t="0" r="0" b="0"/>
                  <wp:wrapNone/>
                  <wp:docPr id="3" name="image1.png" descr="C:\Users\PERPUS\Downloads\Logo Meambo PKM - Copy.jpg"/>
                  <wp:cNvGraphicFramePr/>
                  <a:graphic xmlns:a="http://schemas.openxmlformats.org/drawingml/2006/main">
                    <a:graphicData uri="http://schemas.openxmlformats.org/drawingml/2006/picture">
                      <pic:pic xmlns:pic="http://schemas.openxmlformats.org/drawingml/2006/picture">
                        <pic:nvPicPr>
                          <pic:cNvPr id="0" name="image1.png" descr="C:\Users\PERPUS\Downloads\Logo Meambo PKM - Copy.jp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094154" cy="1070708"/>
                          </a:xfrm>
                          <a:prstGeom prst="rect">
                            <a:avLst/>
                          </a:prstGeom>
                          <a:ln/>
                        </pic:spPr>
                      </pic:pic>
                    </a:graphicData>
                  </a:graphic>
                </wp:anchor>
              </w:drawing>
            </w:r>
          </w:p>
        </w:tc>
        <w:tc>
          <w:tcPr>
            <w:tcW w:w="8437" w:type="dxa"/>
          </w:tcPr>
          <w:p w14:paraId="3885689B" w14:textId="40338A5D" w:rsidR="009B1347" w:rsidRPr="00F30C8D" w:rsidRDefault="009B1347" w:rsidP="009B1347">
            <w:pPr>
              <w:spacing w:after="120"/>
              <w:ind w:left="-601"/>
              <w:jc w:val="center"/>
              <w:rPr>
                <w:rFonts w:ascii="Times New Roman" w:eastAsia="Times New Roman" w:hAnsi="Times New Roman" w:cs="Times New Roman"/>
                <w:color w:val="FF0000"/>
                <w:sz w:val="18"/>
                <w:szCs w:val="18"/>
                <w:lang w:val="en-US"/>
              </w:rPr>
            </w:pPr>
            <w:r>
              <w:rPr>
                <w:noProof/>
              </w:rPr>
              <w:drawing>
                <wp:anchor distT="0" distB="0" distL="114300" distR="114300" simplePos="0" relativeHeight="251660288" behindDoc="0" locked="0" layoutInCell="1" hidden="0" allowOverlap="1" wp14:anchorId="0BA95497" wp14:editId="509087E0">
                  <wp:simplePos x="0" y="0"/>
                  <wp:positionH relativeFrom="column">
                    <wp:posOffset>101373</wp:posOffset>
                  </wp:positionH>
                  <wp:positionV relativeFrom="paragraph">
                    <wp:posOffset>187960</wp:posOffset>
                  </wp:positionV>
                  <wp:extent cx="4860925" cy="820574"/>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cstate="print">
                            <a:extLst>
                              <a:ext uri="{28A0092B-C50C-407E-A947-70E740481C1C}">
                                <a14:useLocalDpi xmlns:a14="http://schemas.microsoft.com/office/drawing/2010/main" val="0"/>
                              </a:ext>
                            </a:extLst>
                          </a:blip>
                          <a:srcRect l="16134" t="6731" r="15068" b="10577"/>
                          <a:stretch>
                            <a:fillRect/>
                          </a:stretch>
                        </pic:blipFill>
                        <pic:spPr>
                          <a:xfrm>
                            <a:off x="0" y="0"/>
                            <a:ext cx="4860925" cy="820574"/>
                          </a:xfrm>
                          <a:prstGeom prst="rect">
                            <a:avLst/>
                          </a:prstGeom>
                          <a:ln/>
                        </pic:spPr>
                      </pic:pic>
                    </a:graphicData>
                  </a:graphic>
                </wp:anchor>
              </w:drawing>
            </w:r>
            <w:r>
              <w:rPr>
                <w:rFonts w:ascii="Times New Roman" w:eastAsia="Times New Roman" w:hAnsi="Times New Roman" w:cs="Times New Roman"/>
                <w:color w:val="FF0000"/>
                <w:sz w:val="18"/>
                <w:szCs w:val="18"/>
              </w:rPr>
              <w:t>Meambo. 20</w:t>
            </w:r>
            <w:r w:rsidR="00F30C8D">
              <w:rPr>
                <w:rFonts w:ascii="Times New Roman" w:eastAsia="Times New Roman" w:hAnsi="Times New Roman" w:cs="Times New Roman"/>
                <w:color w:val="FF0000"/>
                <w:sz w:val="18"/>
                <w:szCs w:val="18"/>
                <w:lang w:val="en-US"/>
              </w:rPr>
              <w:t>26</w:t>
            </w:r>
            <w:r>
              <w:rPr>
                <w:rFonts w:ascii="Times New Roman" w:eastAsia="Times New Roman" w:hAnsi="Times New Roman" w:cs="Times New Roman"/>
                <w:color w:val="FF0000"/>
                <w:sz w:val="18"/>
                <w:szCs w:val="18"/>
              </w:rPr>
              <w:t xml:space="preserve">; </w:t>
            </w:r>
            <w:r w:rsidR="00F30C8D">
              <w:rPr>
                <w:rFonts w:ascii="Times New Roman" w:eastAsia="Times New Roman" w:hAnsi="Times New Roman" w:cs="Times New Roman"/>
                <w:color w:val="FF0000"/>
                <w:sz w:val="18"/>
                <w:szCs w:val="18"/>
                <w:lang w:val="en-US"/>
              </w:rPr>
              <w:t>5</w:t>
            </w:r>
            <w:r>
              <w:rPr>
                <w:rFonts w:ascii="Times New Roman" w:eastAsia="Times New Roman" w:hAnsi="Times New Roman" w:cs="Times New Roman"/>
                <w:color w:val="FF0000"/>
                <w:sz w:val="18"/>
                <w:szCs w:val="18"/>
              </w:rPr>
              <w:t>(</w:t>
            </w:r>
            <w:r w:rsidR="00592A63">
              <w:rPr>
                <w:rFonts w:ascii="Times New Roman" w:eastAsia="Times New Roman" w:hAnsi="Times New Roman" w:cs="Times New Roman"/>
                <w:color w:val="FF0000"/>
                <w:sz w:val="18"/>
                <w:szCs w:val="18"/>
                <w:lang w:val="en-US"/>
              </w:rPr>
              <w:t>2</w:t>
            </w:r>
            <w:r>
              <w:rPr>
                <w:rFonts w:ascii="Times New Roman" w:eastAsia="Times New Roman" w:hAnsi="Times New Roman" w:cs="Times New Roman"/>
                <w:color w:val="FF0000"/>
                <w:sz w:val="18"/>
                <w:szCs w:val="18"/>
              </w:rPr>
              <w:t xml:space="preserve">) : </w:t>
            </w:r>
            <w:r w:rsidR="009B51B1">
              <w:rPr>
                <w:rFonts w:ascii="Times New Roman" w:eastAsia="Times New Roman" w:hAnsi="Times New Roman" w:cs="Times New Roman"/>
                <w:color w:val="FF0000"/>
                <w:sz w:val="18"/>
                <w:szCs w:val="18"/>
                <w:lang w:val="en-US"/>
              </w:rPr>
              <w:t>633-</w:t>
            </w:r>
            <w:r w:rsidR="00B42B05">
              <w:rPr>
                <w:rFonts w:ascii="Times New Roman" w:eastAsia="Times New Roman" w:hAnsi="Times New Roman" w:cs="Times New Roman"/>
                <w:color w:val="FF0000"/>
                <w:sz w:val="18"/>
                <w:szCs w:val="18"/>
                <w:lang w:val="en-US"/>
              </w:rPr>
              <w:t>639</w:t>
            </w:r>
          </w:p>
          <w:p w14:paraId="710AC6DE" w14:textId="1CDACD9C" w:rsidR="009B1347" w:rsidRDefault="009B1347" w:rsidP="009B1347">
            <w:pPr>
              <w:spacing w:after="120"/>
              <w:jc w:val="center"/>
              <w:rPr>
                <w:rFonts w:ascii="Book Antiqua" w:eastAsia="Book Antiqua" w:hAnsi="Book Antiqua" w:cs="Book Antiqua"/>
              </w:rPr>
            </w:pPr>
          </w:p>
          <w:p w14:paraId="457C1435" w14:textId="77777777" w:rsidR="009B1347" w:rsidRDefault="009B1347" w:rsidP="009B1347">
            <w:pPr>
              <w:spacing w:after="120"/>
              <w:jc w:val="center"/>
              <w:rPr>
                <w:rFonts w:ascii="Book Antiqua" w:eastAsia="Book Antiqua" w:hAnsi="Book Antiqua" w:cs="Book Antiqua"/>
              </w:rPr>
            </w:pPr>
          </w:p>
          <w:p w14:paraId="441FFBE9" w14:textId="77777777" w:rsidR="009B1347" w:rsidRDefault="009B1347" w:rsidP="009B1347">
            <w:pPr>
              <w:spacing w:after="120"/>
              <w:jc w:val="center"/>
              <w:rPr>
                <w:rFonts w:ascii="Book Antiqua" w:eastAsia="Book Antiqua" w:hAnsi="Book Antiqua" w:cs="Book Antiqua"/>
              </w:rPr>
            </w:pPr>
          </w:p>
          <w:p w14:paraId="7B101328" w14:textId="77777777" w:rsidR="009B1347" w:rsidRDefault="00000000" w:rsidP="009B1347">
            <w:pPr>
              <w:pBdr>
                <w:top w:val="nil"/>
                <w:left w:val="nil"/>
                <w:bottom w:val="nil"/>
                <w:right w:val="nil"/>
                <w:between w:val="nil"/>
              </w:pBdr>
              <w:tabs>
                <w:tab w:val="center" w:pos="4680"/>
                <w:tab w:val="right" w:pos="9360"/>
              </w:tabs>
              <w:spacing w:after="120"/>
              <w:ind w:left="-743"/>
              <w:jc w:val="center"/>
              <w:rPr>
                <w:b/>
                <w:color w:val="000000"/>
              </w:rPr>
            </w:pPr>
            <w:hyperlink r:id="rId10">
              <w:r w:rsidR="009B1347">
                <w:rPr>
                  <w:rFonts w:ascii="Book Antiqua" w:eastAsia="Book Antiqua" w:hAnsi="Book Antiqua" w:cs="Book Antiqua"/>
                  <w:b/>
                  <w:color w:val="0000FF"/>
                </w:rPr>
                <w:t>https://pengabmas.nchat.id</w:t>
              </w:r>
            </w:hyperlink>
          </w:p>
        </w:tc>
      </w:tr>
    </w:tbl>
    <w:p w14:paraId="4D7F54F7" w14:textId="098D9746" w:rsidR="008C7510" w:rsidRDefault="008C7510" w:rsidP="008C7510">
      <w:pPr>
        <w:jc w:val="both"/>
        <w:rPr>
          <w:rFonts w:ascii="Times New Roman" w:hAnsi="Times New Roman" w:cs="Times New Roman"/>
          <w:b/>
          <w:bCs/>
          <w:sz w:val="36"/>
          <w:szCs w:val="36"/>
        </w:rPr>
      </w:pPr>
      <w:r w:rsidRPr="0087693A">
        <w:rPr>
          <w:rFonts w:ascii="Times New Roman" w:hAnsi="Times New Roman" w:cs="Times New Roman"/>
          <w:b/>
          <w:bCs/>
          <w:sz w:val="36"/>
          <w:szCs w:val="36"/>
        </w:rPr>
        <w:t>Penerapan Pemeriksaan Kesehatan Dasar Sebagai Screening Masalah Kesehatan Mahasiswa Baru Poltekke</w:t>
      </w:r>
      <w:r>
        <w:rPr>
          <w:rFonts w:ascii="Times New Roman" w:hAnsi="Times New Roman" w:cs="Times New Roman"/>
          <w:b/>
          <w:bCs/>
          <w:sz w:val="36"/>
          <w:szCs w:val="36"/>
        </w:rPr>
        <w:t>s</w:t>
      </w:r>
      <w:r w:rsidRPr="0087693A">
        <w:rPr>
          <w:rFonts w:ascii="Times New Roman" w:hAnsi="Times New Roman" w:cs="Times New Roman"/>
          <w:b/>
          <w:bCs/>
          <w:sz w:val="36"/>
          <w:szCs w:val="36"/>
        </w:rPr>
        <w:t xml:space="preserve"> Kupang</w:t>
      </w:r>
    </w:p>
    <w:tbl>
      <w:tblPr>
        <w:tblW w:w="9855" w:type="dxa"/>
        <w:tblInd w:w="-108"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9855"/>
      </w:tblGrid>
      <w:tr w:rsidR="00592A63" w14:paraId="2CD2CC35" w14:textId="77777777" w:rsidTr="00EE077D">
        <w:tc>
          <w:tcPr>
            <w:tcW w:w="9855" w:type="dxa"/>
          </w:tcPr>
          <w:p w14:paraId="1FDAED6A" w14:textId="77777777" w:rsidR="00592A63" w:rsidRDefault="00592A63" w:rsidP="00EE077D">
            <w:pPr>
              <w:jc w:val="center"/>
              <w:rPr>
                <w:rFonts w:ascii="Quattrocento Sans" w:eastAsia="Quattrocento Sans" w:hAnsi="Quattrocento Sans" w:cs="Quattrocento Sans"/>
                <w:color w:val="000000"/>
                <w:sz w:val="24"/>
                <w:szCs w:val="24"/>
                <w:vertAlign w:val="superscript"/>
              </w:rPr>
            </w:pPr>
            <w:r w:rsidRPr="0087693A">
              <w:rPr>
                <w:rFonts w:ascii="Times New Roman" w:hAnsi="Times New Roman" w:cs="Times New Roman"/>
                <w:b/>
                <w:bCs/>
              </w:rPr>
              <w:t>Oklan B.T Liunokas</w:t>
            </w:r>
            <w:r w:rsidRPr="0087693A">
              <w:rPr>
                <w:rFonts w:ascii="Times New Roman" w:hAnsi="Times New Roman" w:cs="Times New Roman"/>
                <w:b/>
                <w:bCs/>
                <w:vertAlign w:val="superscript"/>
              </w:rPr>
              <w:t>1</w:t>
            </w:r>
            <w:r w:rsidRPr="0087693A">
              <w:rPr>
                <w:rFonts w:ascii="Times New Roman" w:hAnsi="Times New Roman" w:cs="Times New Roman"/>
                <w:b/>
                <w:bCs/>
              </w:rPr>
              <w:t>, Namsyah Baso</w:t>
            </w:r>
            <w:r w:rsidRPr="0087693A">
              <w:rPr>
                <w:rFonts w:ascii="Times New Roman" w:hAnsi="Times New Roman" w:cs="Times New Roman"/>
                <w:b/>
                <w:bCs/>
                <w:vertAlign w:val="superscript"/>
              </w:rPr>
              <w:t>2</w:t>
            </w:r>
            <w:r w:rsidRPr="0087693A">
              <w:rPr>
                <w:rFonts w:ascii="Times New Roman" w:hAnsi="Times New Roman" w:cs="Times New Roman"/>
                <w:b/>
                <w:bCs/>
              </w:rPr>
              <w:t>, Hardian Bimanto</w:t>
            </w:r>
            <w:r w:rsidRPr="0087693A">
              <w:rPr>
                <w:rFonts w:ascii="Times New Roman" w:hAnsi="Times New Roman" w:cs="Times New Roman"/>
                <w:b/>
                <w:bCs/>
                <w:vertAlign w:val="superscript"/>
              </w:rPr>
              <w:t>3</w:t>
            </w:r>
            <w:r w:rsidRPr="0087693A">
              <w:rPr>
                <w:rFonts w:ascii="Times New Roman" w:hAnsi="Times New Roman" w:cs="Times New Roman"/>
                <w:b/>
                <w:bCs/>
              </w:rPr>
              <w:t>, Maria Fatima Saga Wea</w:t>
            </w:r>
            <w:r w:rsidRPr="0087693A">
              <w:rPr>
                <w:rFonts w:ascii="Times New Roman" w:hAnsi="Times New Roman" w:cs="Times New Roman"/>
                <w:b/>
                <w:bCs/>
                <w:vertAlign w:val="superscript"/>
              </w:rPr>
              <w:t>4</w:t>
            </w:r>
            <w:r w:rsidRPr="0087693A">
              <w:rPr>
                <w:rFonts w:ascii="Times New Roman" w:hAnsi="Times New Roman" w:cs="Times New Roman"/>
                <w:b/>
                <w:bCs/>
              </w:rPr>
              <w:t>, Nabila Nurul Ilma</w:t>
            </w:r>
            <w:r w:rsidRPr="0087693A">
              <w:rPr>
                <w:rFonts w:ascii="Times New Roman" w:hAnsi="Times New Roman" w:cs="Times New Roman"/>
                <w:b/>
                <w:bCs/>
                <w:vertAlign w:val="superscript"/>
              </w:rPr>
              <w:t>5</w:t>
            </w:r>
            <w:r w:rsidRPr="0087693A">
              <w:rPr>
                <w:rFonts w:ascii="Times New Roman" w:hAnsi="Times New Roman" w:cs="Times New Roman"/>
                <w:b/>
                <w:bCs/>
              </w:rPr>
              <w:t>, Tri Maryati</w:t>
            </w:r>
            <w:r w:rsidRPr="0087693A">
              <w:rPr>
                <w:rFonts w:ascii="Times New Roman" w:hAnsi="Times New Roman" w:cs="Times New Roman"/>
                <w:b/>
                <w:bCs/>
                <w:vertAlign w:val="superscript"/>
              </w:rPr>
              <w:t>6</w:t>
            </w:r>
          </w:p>
        </w:tc>
      </w:tr>
    </w:tbl>
    <w:p w14:paraId="2DF0D8C8" w14:textId="6537E66C" w:rsidR="00592A63" w:rsidRDefault="00592A63" w:rsidP="0051342A">
      <w:pPr>
        <w:spacing w:after="0"/>
        <w:jc w:val="both"/>
        <w:rPr>
          <w:rFonts w:ascii="Times New Roman" w:eastAsia="Times New Roman" w:hAnsi="Times New Roman"/>
          <w:sz w:val="18"/>
          <w:szCs w:val="18"/>
        </w:rPr>
      </w:pPr>
      <w:r w:rsidRPr="0087693A">
        <w:rPr>
          <w:rFonts w:ascii="Times New Roman" w:eastAsia="Times New Roman" w:hAnsi="Times New Roman"/>
          <w:sz w:val="18"/>
          <w:szCs w:val="18"/>
          <w:vertAlign w:val="superscript"/>
        </w:rPr>
        <w:t>1,</w:t>
      </w:r>
      <w:r w:rsidR="0051342A">
        <w:rPr>
          <w:rFonts w:ascii="Times New Roman" w:eastAsia="Times New Roman" w:hAnsi="Times New Roman"/>
          <w:sz w:val="18"/>
          <w:szCs w:val="18"/>
          <w:vertAlign w:val="superscript"/>
          <w:lang w:val="en-US"/>
        </w:rPr>
        <w:t>4</w:t>
      </w:r>
      <w:r w:rsidRPr="0087693A">
        <w:rPr>
          <w:rFonts w:ascii="Times New Roman" w:eastAsia="Times New Roman" w:hAnsi="Times New Roman"/>
          <w:sz w:val="18"/>
          <w:szCs w:val="18"/>
        </w:rPr>
        <w:t xml:space="preserve"> </w:t>
      </w:r>
      <w:r w:rsidR="0051342A">
        <w:rPr>
          <w:rFonts w:ascii="Times New Roman" w:eastAsia="Times New Roman" w:hAnsi="Times New Roman"/>
          <w:sz w:val="18"/>
          <w:szCs w:val="18"/>
          <w:lang w:val="en-US"/>
        </w:rPr>
        <w:t xml:space="preserve">Departemen Keperawatan, </w:t>
      </w:r>
      <w:r w:rsidRPr="0087693A">
        <w:rPr>
          <w:rFonts w:ascii="Times New Roman" w:eastAsia="Times New Roman" w:hAnsi="Times New Roman"/>
          <w:sz w:val="18"/>
          <w:szCs w:val="18"/>
        </w:rPr>
        <w:t>Politeknik Kesehatan Kementerian Kesehatan Kupang, Indonesia;</w:t>
      </w:r>
      <w:r>
        <w:rPr>
          <w:rFonts w:ascii="Times New Roman" w:eastAsia="Times New Roman" w:hAnsi="Times New Roman"/>
          <w:sz w:val="18"/>
          <w:szCs w:val="18"/>
        </w:rPr>
        <w:t xml:space="preserve"> </w:t>
      </w:r>
      <w:r w:rsidRPr="0087693A">
        <w:rPr>
          <w:rFonts w:ascii="Times New Roman" w:eastAsia="Times New Roman" w:hAnsi="Times New Roman"/>
          <w:sz w:val="18"/>
          <w:szCs w:val="18"/>
        </w:rPr>
        <w:t>aliunokasoklan70@gmail.com,</w:t>
      </w:r>
      <w:r>
        <w:rPr>
          <w:rFonts w:ascii="Times New Roman" w:eastAsia="Times New Roman" w:hAnsi="Times New Roman"/>
          <w:sz w:val="18"/>
          <w:szCs w:val="18"/>
        </w:rPr>
        <w:t xml:space="preserve"> </w:t>
      </w:r>
      <w:r w:rsidRPr="0087693A">
        <w:rPr>
          <w:rFonts w:ascii="Times New Roman" w:eastAsia="Times New Roman" w:hAnsi="Times New Roman"/>
          <w:sz w:val="18"/>
          <w:szCs w:val="18"/>
        </w:rPr>
        <w:t>fatimasaga85@gmail.com</w:t>
      </w:r>
    </w:p>
    <w:p w14:paraId="3E25B8E2" w14:textId="56197053" w:rsidR="0051342A" w:rsidRDefault="0051342A" w:rsidP="0051342A">
      <w:pPr>
        <w:spacing w:after="0"/>
        <w:jc w:val="both"/>
        <w:rPr>
          <w:rFonts w:ascii="Times New Roman" w:eastAsia="Times New Roman" w:hAnsi="Times New Roman"/>
          <w:sz w:val="18"/>
          <w:szCs w:val="18"/>
        </w:rPr>
      </w:pPr>
      <w:r w:rsidRPr="0087693A">
        <w:rPr>
          <w:rFonts w:ascii="Times New Roman" w:eastAsia="Times New Roman" w:hAnsi="Times New Roman"/>
          <w:sz w:val="18"/>
          <w:szCs w:val="18"/>
          <w:vertAlign w:val="superscript"/>
        </w:rPr>
        <w:t>2,3,5</w:t>
      </w:r>
      <w:r>
        <w:rPr>
          <w:rFonts w:ascii="Times New Roman" w:eastAsia="Times New Roman" w:hAnsi="Times New Roman"/>
          <w:sz w:val="18"/>
          <w:szCs w:val="18"/>
          <w:vertAlign w:val="superscript"/>
          <w:lang w:val="en-US"/>
        </w:rPr>
        <w:t>,</w:t>
      </w:r>
      <w:r>
        <w:rPr>
          <w:rFonts w:ascii="Times New Roman" w:eastAsia="Times New Roman" w:hAnsi="Times New Roman"/>
          <w:sz w:val="18"/>
          <w:szCs w:val="18"/>
          <w:vertAlign w:val="superscript"/>
          <w:lang w:val="en-US"/>
        </w:rPr>
        <w:t>6</w:t>
      </w:r>
      <w:r w:rsidRPr="0087693A">
        <w:rPr>
          <w:rFonts w:ascii="Times New Roman" w:eastAsia="Times New Roman" w:hAnsi="Times New Roman"/>
          <w:sz w:val="18"/>
          <w:szCs w:val="18"/>
        </w:rPr>
        <w:t xml:space="preserve"> </w:t>
      </w:r>
      <w:r>
        <w:rPr>
          <w:rFonts w:ascii="Times New Roman" w:eastAsia="Times New Roman" w:hAnsi="Times New Roman"/>
          <w:sz w:val="18"/>
          <w:szCs w:val="18"/>
          <w:lang w:val="en-US"/>
        </w:rPr>
        <w:t xml:space="preserve">Departemen Kebidanan, </w:t>
      </w:r>
      <w:r w:rsidRPr="0087693A">
        <w:rPr>
          <w:rFonts w:ascii="Times New Roman" w:eastAsia="Times New Roman" w:hAnsi="Times New Roman"/>
          <w:sz w:val="18"/>
          <w:szCs w:val="18"/>
        </w:rPr>
        <w:t>Politeknik Kesehatan Kementerian Kesehatan Kupang, Indonesia;</w:t>
      </w:r>
      <w:r>
        <w:rPr>
          <w:rFonts w:ascii="Times New Roman" w:eastAsia="Times New Roman" w:hAnsi="Times New Roman"/>
          <w:sz w:val="18"/>
          <w:szCs w:val="18"/>
        </w:rPr>
        <w:t xml:space="preserve"> namsyar@gmail.</w:t>
      </w:r>
      <w:r>
        <w:rPr>
          <w:rFonts w:ascii="Times New Roman" w:eastAsia="Times New Roman" w:hAnsi="Times New Roman"/>
          <w:sz w:val="18"/>
          <w:szCs w:val="18"/>
          <w:lang w:val="en-US"/>
        </w:rPr>
        <w:t>c</w:t>
      </w:r>
      <w:r>
        <w:rPr>
          <w:rFonts w:ascii="Times New Roman" w:eastAsia="Times New Roman" w:hAnsi="Times New Roman"/>
          <w:sz w:val="18"/>
          <w:szCs w:val="18"/>
        </w:rPr>
        <w:t xml:space="preserve">om, </w:t>
      </w:r>
      <w:r w:rsidRPr="0087693A">
        <w:rPr>
          <w:rFonts w:ascii="Times New Roman" w:eastAsia="Times New Roman" w:hAnsi="Times New Roman"/>
          <w:sz w:val="18"/>
          <w:szCs w:val="18"/>
        </w:rPr>
        <w:t>chardianbimanto93@gmail.com,</w:t>
      </w:r>
      <w:r>
        <w:rPr>
          <w:rFonts w:ascii="Times New Roman" w:eastAsia="Times New Roman" w:hAnsi="Times New Roman"/>
          <w:sz w:val="18"/>
          <w:szCs w:val="18"/>
        </w:rPr>
        <w:t xml:space="preserve"> </w:t>
      </w:r>
      <w:r w:rsidRPr="0087693A">
        <w:rPr>
          <w:rFonts w:ascii="Times New Roman" w:eastAsia="Times New Roman" w:hAnsi="Times New Roman"/>
          <w:sz w:val="18"/>
          <w:szCs w:val="18"/>
        </w:rPr>
        <w:t>enurramadhan242@gmail.com, ftrialena46@gmail.com</w:t>
      </w:r>
    </w:p>
    <w:p w14:paraId="6926B9F8" w14:textId="77777777" w:rsidR="0051342A" w:rsidRPr="0087693A" w:rsidRDefault="0051342A" w:rsidP="0051342A">
      <w:pPr>
        <w:spacing w:after="0"/>
        <w:jc w:val="both"/>
        <w:rPr>
          <w:rFonts w:ascii="Times New Roman" w:eastAsia="Times New Roman" w:hAnsi="Times New Roman"/>
          <w:sz w:val="18"/>
          <w:szCs w:val="18"/>
        </w:rPr>
      </w:pPr>
    </w:p>
    <w:tbl>
      <w:tblPr>
        <w:tblW w:w="10005" w:type="dxa"/>
        <w:tblInd w:w="-224" w:type="dxa"/>
        <w:tblBorders>
          <w:top w:val="nil"/>
          <w:left w:val="nil"/>
          <w:bottom w:val="nil"/>
          <w:right w:val="nil"/>
          <w:insideH w:val="nil"/>
          <w:insideV w:val="nil"/>
        </w:tblBorders>
        <w:tblLayout w:type="fixed"/>
        <w:tblLook w:val="0400" w:firstRow="0" w:lastRow="0" w:firstColumn="0" w:lastColumn="0" w:noHBand="0" w:noVBand="1"/>
      </w:tblPr>
      <w:tblGrid>
        <w:gridCol w:w="4862"/>
        <w:gridCol w:w="283"/>
        <w:gridCol w:w="4860"/>
      </w:tblGrid>
      <w:tr w:rsidR="00CE5B3F" w14:paraId="1C67537D" w14:textId="77777777" w:rsidTr="004843A4">
        <w:tc>
          <w:tcPr>
            <w:tcW w:w="4862" w:type="dxa"/>
            <w:shd w:val="clear" w:color="auto" w:fill="D9D9D9"/>
          </w:tcPr>
          <w:p w14:paraId="6F14C05A" w14:textId="77777777" w:rsidR="00CE5B3F" w:rsidRDefault="00CE5B3F" w:rsidP="00BA5419">
            <w:pPr>
              <w:spacing w:after="0"/>
              <w:jc w:val="center"/>
              <w:rPr>
                <w:rFonts w:ascii="Times New Roman" w:eastAsia="Times New Roman" w:hAnsi="Times New Roman" w:cs="Times New Roman"/>
                <w:b/>
                <w:bCs/>
                <w:i/>
                <w:iCs/>
              </w:rPr>
            </w:pPr>
            <w:r>
              <w:rPr>
                <w:rFonts w:ascii="Times New Roman" w:eastAsia="Times New Roman" w:hAnsi="Times New Roman" w:cs="Times New Roman"/>
                <w:b/>
                <w:bCs/>
                <w:i/>
                <w:iCs/>
              </w:rPr>
              <w:t>ABSTRACT</w:t>
            </w:r>
          </w:p>
        </w:tc>
        <w:tc>
          <w:tcPr>
            <w:tcW w:w="283" w:type="dxa"/>
          </w:tcPr>
          <w:p w14:paraId="0A243A0E" w14:textId="77777777" w:rsidR="00CE5B3F" w:rsidRDefault="00CE5B3F" w:rsidP="00BA5419">
            <w:pPr>
              <w:spacing w:after="0"/>
              <w:rPr>
                <w:rFonts w:ascii="Times New Roman" w:eastAsia="Times New Roman" w:hAnsi="Times New Roman" w:cs="Times New Roman"/>
                <w:b/>
                <w:bCs/>
              </w:rPr>
            </w:pPr>
          </w:p>
        </w:tc>
        <w:tc>
          <w:tcPr>
            <w:tcW w:w="4860" w:type="dxa"/>
            <w:shd w:val="clear" w:color="auto" w:fill="D9D9D9"/>
          </w:tcPr>
          <w:p w14:paraId="2AD3DA38" w14:textId="77777777" w:rsidR="00CE5B3F" w:rsidRDefault="00CE5B3F" w:rsidP="00BA5419">
            <w:pPr>
              <w:spacing w:after="0"/>
              <w:jc w:val="center"/>
              <w:rPr>
                <w:rFonts w:ascii="Times New Roman" w:eastAsia="Times New Roman" w:hAnsi="Times New Roman" w:cs="Times New Roman"/>
                <w:b/>
                <w:bCs/>
              </w:rPr>
            </w:pPr>
            <w:r>
              <w:rPr>
                <w:rFonts w:ascii="Times New Roman" w:eastAsia="Times New Roman" w:hAnsi="Times New Roman" w:cs="Times New Roman"/>
                <w:b/>
                <w:bCs/>
              </w:rPr>
              <w:t>ABSTRAK</w:t>
            </w:r>
          </w:p>
        </w:tc>
      </w:tr>
      <w:tr w:rsidR="00CE5B3F" w14:paraId="5020ED28" w14:textId="77777777" w:rsidTr="004843A4">
        <w:tc>
          <w:tcPr>
            <w:tcW w:w="4862" w:type="dxa"/>
          </w:tcPr>
          <w:p w14:paraId="42FA9E47" w14:textId="30A7E55E" w:rsidR="00CE5B3F" w:rsidRDefault="00395218" w:rsidP="00BA5419">
            <w:pPr>
              <w:spacing w:after="0" w:line="240" w:lineRule="auto"/>
              <w:jc w:val="both"/>
              <w:rPr>
                <w:rFonts w:ascii="Times New Roman" w:eastAsia="Times New Roman" w:hAnsi="Times New Roman" w:cs="Times New Roman"/>
                <w:i/>
                <w:iCs/>
                <w:sz w:val="18"/>
                <w:szCs w:val="18"/>
              </w:rPr>
            </w:pPr>
            <w:r w:rsidRPr="00395218">
              <w:rPr>
                <w:rFonts w:ascii="Times New Roman" w:eastAsia="Times New Roman" w:hAnsi="Times New Roman" w:cs="Times New Roman"/>
                <w:i/>
                <w:iCs/>
                <w:sz w:val="18"/>
                <w:szCs w:val="18"/>
              </w:rPr>
              <w:t>First-year students are vulnerable to lifestyle changes during their adaptation to the university environment, which may increase the risk of physical and psychological health problems. The low practice of routine health check-ups often results in health risk factors remaining undetected at an early stage. This community service program aimed to implement basic health examinations as an initial screening strategy for health problems among first-year students and to improve their knowledge of healthy living behaviors. A descriptive-participatory approach was employed through health examinations, health education, evaluation, and monitoring. The program involved 126 first-year students at the Kupang Health Polytechnic. Health assessments included blood pressure, height, weight, body mass index, waist circumference, and random blood glucose measurements. Knowledge was evaluated using pre-test and post-test questionnaires administered before and after the educational session. The results showed an increase in the mean knowledge score from 61.8 to 86.4. Health screening identified 24 students (19.0%) as overweight, 15 students (11.9%) as obese, 11 students (8.7%) with elevated blood pressure, and 7 students (5.6%) with above-normal blood glucose levels. The program increased students’ awareness of the importance of early detection and the adoption of healthy lifestyles as promotive and preventive measures within the campus environment.</w:t>
            </w:r>
            <w:r w:rsidR="008C7510" w:rsidRPr="008C7510">
              <w:rPr>
                <w:rFonts w:ascii="Times New Roman" w:eastAsia="Times New Roman" w:hAnsi="Times New Roman" w:cs="Times New Roman"/>
                <w:i/>
                <w:iCs/>
                <w:sz w:val="18"/>
                <w:szCs w:val="18"/>
              </w:rPr>
              <w:t>.</w:t>
            </w:r>
          </w:p>
        </w:tc>
        <w:tc>
          <w:tcPr>
            <w:tcW w:w="283" w:type="dxa"/>
          </w:tcPr>
          <w:p w14:paraId="2396E8A7" w14:textId="77777777" w:rsidR="00CE5B3F" w:rsidRDefault="00CE5B3F" w:rsidP="00BA5419">
            <w:pPr>
              <w:spacing w:after="0" w:line="240" w:lineRule="auto"/>
              <w:rPr>
                <w:rFonts w:ascii="Times New Roman" w:eastAsia="Times New Roman" w:hAnsi="Times New Roman" w:cs="Times New Roman"/>
                <w:b/>
                <w:bCs/>
                <w:sz w:val="18"/>
                <w:szCs w:val="18"/>
              </w:rPr>
            </w:pPr>
          </w:p>
        </w:tc>
        <w:tc>
          <w:tcPr>
            <w:tcW w:w="4860" w:type="dxa"/>
          </w:tcPr>
          <w:p w14:paraId="6C172CDC" w14:textId="43D6D766" w:rsidR="008C7510" w:rsidRDefault="00395218" w:rsidP="00BA5419">
            <w:pPr>
              <w:spacing w:after="0" w:line="240" w:lineRule="auto"/>
              <w:jc w:val="both"/>
              <w:rPr>
                <w:rFonts w:ascii="Times New Roman" w:eastAsia="Times New Roman" w:hAnsi="Times New Roman" w:cs="Times New Roman"/>
                <w:sz w:val="18"/>
                <w:szCs w:val="18"/>
              </w:rPr>
            </w:pPr>
            <w:r w:rsidRPr="00395218">
              <w:rPr>
                <w:rFonts w:ascii="Times New Roman" w:eastAsia="Times New Roman" w:hAnsi="Times New Roman" w:cs="Times New Roman"/>
                <w:sz w:val="18"/>
                <w:szCs w:val="18"/>
              </w:rPr>
              <w:t>Mahasiswa baru rentan mengalami perubahan pola hidup selama proses adaptasi di perguruan tinggi yang dapat meningkatkan risiko masalah kesehatan fisik maupun psikologis. Rendahnya kebiasaan pemeriksaan kesehatan rutin menyebabkan berbagai faktor risiko kesehatan sering tidak terdeteksi sejak dini. Kegiatan pengabdian ini bertujuan menerapkan pemeriksaan kesehatan dasar sebagai skrining awal masalah kesehatan mahasiswa baru serta meningkatkan pengetahuan tentang perilaku hidup sehat. Metode yang digunakan adalah deskriptif-partisipatif melalui pemeriksaan kesehatan, edukasi kesehatan, evaluasi, dan monitoring. Kegiatan melibatkan 126 mahasiswa baru Poltekkes Kemenkes Kupang. Pemeriksaan meliputi tekanan darah, tinggi badan, berat badan, indeks massa tubuh, lingkar perut, dan gula darah sewaktu. Pengetahuan dievaluasi menggunakan pre-test dan post-test sebelum dan sesudah edukasi. Hasil menunjukkan peningkatan rata-rata pengetahuan dari 61</w:t>
            </w:r>
            <w:r>
              <w:rPr>
                <w:rFonts w:ascii="Times New Roman" w:eastAsia="Times New Roman" w:hAnsi="Times New Roman" w:cs="Times New Roman"/>
                <w:sz w:val="18"/>
                <w:szCs w:val="18"/>
                <w:lang w:val="en-US"/>
              </w:rPr>
              <w:t>.</w:t>
            </w:r>
            <w:r w:rsidRPr="00395218">
              <w:rPr>
                <w:rFonts w:ascii="Times New Roman" w:eastAsia="Times New Roman" w:hAnsi="Times New Roman" w:cs="Times New Roman"/>
                <w:sz w:val="18"/>
                <w:szCs w:val="18"/>
              </w:rPr>
              <w:t>8 menjadi 86</w:t>
            </w:r>
            <w:r>
              <w:rPr>
                <w:rFonts w:ascii="Times New Roman" w:eastAsia="Times New Roman" w:hAnsi="Times New Roman" w:cs="Times New Roman"/>
                <w:sz w:val="18"/>
                <w:szCs w:val="18"/>
                <w:lang w:val="en-US"/>
              </w:rPr>
              <w:t>.</w:t>
            </w:r>
            <w:r w:rsidRPr="00395218">
              <w:rPr>
                <w:rFonts w:ascii="Times New Roman" w:eastAsia="Times New Roman" w:hAnsi="Times New Roman" w:cs="Times New Roman"/>
                <w:sz w:val="18"/>
                <w:szCs w:val="18"/>
              </w:rPr>
              <w:t>4. Pemeriksaan kesehatan mengidentifikasi 24 mahasiswa (19</w:t>
            </w:r>
            <w:r>
              <w:rPr>
                <w:rFonts w:ascii="Times New Roman" w:eastAsia="Times New Roman" w:hAnsi="Times New Roman" w:cs="Times New Roman"/>
                <w:sz w:val="18"/>
                <w:szCs w:val="18"/>
                <w:lang w:val="en-US"/>
              </w:rPr>
              <w:t>.</w:t>
            </w:r>
            <w:r w:rsidRPr="00395218">
              <w:rPr>
                <w:rFonts w:ascii="Times New Roman" w:eastAsia="Times New Roman" w:hAnsi="Times New Roman" w:cs="Times New Roman"/>
                <w:sz w:val="18"/>
                <w:szCs w:val="18"/>
              </w:rPr>
              <w:t>0%) overweight, 15 mahasiswa (11</w:t>
            </w:r>
            <w:r>
              <w:rPr>
                <w:rFonts w:ascii="Times New Roman" w:eastAsia="Times New Roman" w:hAnsi="Times New Roman" w:cs="Times New Roman"/>
                <w:sz w:val="18"/>
                <w:szCs w:val="18"/>
                <w:lang w:val="en-US"/>
              </w:rPr>
              <w:t>.</w:t>
            </w:r>
            <w:r w:rsidRPr="00395218">
              <w:rPr>
                <w:rFonts w:ascii="Times New Roman" w:eastAsia="Times New Roman" w:hAnsi="Times New Roman" w:cs="Times New Roman"/>
                <w:sz w:val="18"/>
                <w:szCs w:val="18"/>
              </w:rPr>
              <w:t>9%) obesitas, 11 mahasiswa (8</w:t>
            </w:r>
            <w:r>
              <w:rPr>
                <w:rFonts w:ascii="Times New Roman" w:eastAsia="Times New Roman" w:hAnsi="Times New Roman" w:cs="Times New Roman"/>
                <w:sz w:val="18"/>
                <w:szCs w:val="18"/>
                <w:lang w:val="en-US"/>
              </w:rPr>
              <w:t>.</w:t>
            </w:r>
            <w:r w:rsidRPr="00395218">
              <w:rPr>
                <w:rFonts w:ascii="Times New Roman" w:eastAsia="Times New Roman" w:hAnsi="Times New Roman" w:cs="Times New Roman"/>
                <w:sz w:val="18"/>
                <w:szCs w:val="18"/>
              </w:rPr>
              <w:t>7%) dengan tekanan darah tinggi, dan 7 mahasiswa (5</w:t>
            </w:r>
            <w:r>
              <w:rPr>
                <w:rFonts w:ascii="Times New Roman" w:eastAsia="Times New Roman" w:hAnsi="Times New Roman" w:cs="Times New Roman"/>
                <w:sz w:val="18"/>
                <w:szCs w:val="18"/>
                <w:lang w:val="en-US"/>
              </w:rPr>
              <w:t>.</w:t>
            </w:r>
            <w:r w:rsidRPr="00395218">
              <w:rPr>
                <w:rFonts w:ascii="Times New Roman" w:eastAsia="Times New Roman" w:hAnsi="Times New Roman" w:cs="Times New Roman"/>
                <w:sz w:val="18"/>
                <w:szCs w:val="18"/>
              </w:rPr>
              <w:t>6%) dengan kadar gula darah di atas normal. Kegiatan ini meningkatkan kesadaran mahasiswa terhadap pentingnya deteksi dini dan penerapan perilaku hidup sehat sebagai upaya promotif dan preventif di lingkungan kampus.</w:t>
            </w:r>
          </w:p>
        </w:tc>
      </w:tr>
      <w:tr w:rsidR="00CE5B3F" w14:paraId="7F9EDFE8" w14:textId="77777777" w:rsidTr="004843A4">
        <w:tc>
          <w:tcPr>
            <w:tcW w:w="4862" w:type="dxa"/>
          </w:tcPr>
          <w:p w14:paraId="1A36ED7A" w14:textId="4A1EF923" w:rsidR="00CE5B3F" w:rsidRDefault="00CE5B3F" w:rsidP="00BA5419">
            <w:pPr>
              <w:spacing w:after="0"/>
              <w:jc w:val="both"/>
              <w:rPr>
                <w:rFonts w:ascii="Times New Roman" w:eastAsia="Times New Roman" w:hAnsi="Times New Roman" w:cs="Times New Roman"/>
                <w:i/>
                <w:iCs/>
                <w:sz w:val="18"/>
                <w:szCs w:val="18"/>
              </w:rPr>
            </w:pPr>
            <w:r>
              <w:rPr>
                <w:rFonts w:ascii="Times New Roman" w:eastAsia="Times New Roman" w:hAnsi="Times New Roman" w:cs="Times New Roman"/>
                <w:b/>
                <w:bCs/>
                <w:i/>
                <w:iCs/>
                <w:sz w:val="18"/>
                <w:szCs w:val="18"/>
              </w:rPr>
              <w:t>Keywords</w:t>
            </w:r>
            <w:r>
              <w:rPr>
                <w:rFonts w:ascii="Times New Roman" w:eastAsia="Times New Roman" w:hAnsi="Times New Roman" w:cs="Times New Roman"/>
                <w:i/>
                <w:iCs/>
                <w:sz w:val="18"/>
                <w:szCs w:val="18"/>
              </w:rPr>
              <w:t xml:space="preserve"> : </w:t>
            </w:r>
            <w:r w:rsidR="008C7510" w:rsidRPr="008C7510">
              <w:rPr>
                <w:rFonts w:ascii="Times New Roman" w:eastAsia="Times New Roman" w:hAnsi="Times New Roman" w:cs="Times New Roman"/>
                <w:b/>
                <w:bCs/>
                <w:i/>
                <w:iCs/>
                <w:sz w:val="18"/>
                <w:szCs w:val="18"/>
              </w:rPr>
              <w:t>Basic Health Examination; Early Detection; Health Education; Health Screening; New Students</w:t>
            </w:r>
          </w:p>
        </w:tc>
        <w:tc>
          <w:tcPr>
            <w:tcW w:w="283" w:type="dxa"/>
          </w:tcPr>
          <w:p w14:paraId="484121E9" w14:textId="77777777" w:rsidR="00CE5B3F" w:rsidRDefault="00CE5B3F" w:rsidP="00BA5419">
            <w:pPr>
              <w:spacing w:after="0"/>
              <w:rPr>
                <w:rFonts w:ascii="Times New Roman" w:eastAsia="Times New Roman" w:hAnsi="Times New Roman" w:cs="Times New Roman"/>
                <w:b/>
                <w:bCs/>
                <w:sz w:val="18"/>
                <w:szCs w:val="18"/>
              </w:rPr>
            </w:pPr>
          </w:p>
        </w:tc>
        <w:tc>
          <w:tcPr>
            <w:tcW w:w="4860" w:type="dxa"/>
          </w:tcPr>
          <w:p w14:paraId="05BEB127" w14:textId="376513CE" w:rsidR="00CE5B3F" w:rsidRDefault="00CE5B3F" w:rsidP="00BA5419">
            <w:pPr>
              <w:spacing w:after="0"/>
              <w:jc w:val="both"/>
              <w:rPr>
                <w:rFonts w:ascii="Times New Roman" w:eastAsia="Times New Roman" w:hAnsi="Times New Roman" w:cs="Times New Roman"/>
                <w:sz w:val="18"/>
                <w:szCs w:val="18"/>
              </w:rPr>
            </w:pPr>
            <w:r>
              <w:rPr>
                <w:rFonts w:ascii="Times New Roman" w:eastAsia="Times New Roman" w:hAnsi="Times New Roman" w:cs="Times New Roman"/>
                <w:b/>
                <w:bCs/>
                <w:sz w:val="18"/>
                <w:szCs w:val="18"/>
              </w:rPr>
              <w:t>Kata Kunci</w:t>
            </w:r>
            <w:r>
              <w:rPr>
                <w:rFonts w:ascii="Times New Roman" w:eastAsia="Times New Roman" w:hAnsi="Times New Roman" w:cs="Times New Roman"/>
                <w:sz w:val="18"/>
                <w:szCs w:val="18"/>
              </w:rPr>
              <w:t xml:space="preserve"> : </w:t>
            </w:r>
            <w:r w:rsidR="008C7510" w:rsidRPr="008C7510">
              <w:rPr>
                <w:rFonts w:ascii="Times New Roman" w:eastAsia="Times New Roman" w:hAnsi="Times New Roman" w:cs="Times New Roman"/>
                <w:b/>
                <w:bCs/>
                <w:sz w:val="18"/>
                <w:szCs w:val="18"/>
              </w:rPr>
              <w:t>Deteksi Dini; Edukasi Kesehatan; Mahasiswa Baru; Pemeriksaan Kesehatan Dasar; Skrining Kesehatan</w:t>
            </w:r>
          </w:p>
        </w:tc>
      </w:tr>
    </w:tbl>
    <w:p w14:paraId="4BF37FCF" w14:textId="3C3B9FDB" w:rsidR="008D307D" w:rsidRDefault="008D307D" w:rsidP="00CE5B3F">
      <w:pPr>
        <w:spacing w:after="0" w:line="259" w:lineRule="auto"/>
        <w:rPr>
          <w:rFonts w:ascii="Times New Roman" w:eastAsia="Times New Roman" w:hAnsi="Times New Roman" w:cs="Times New Roman"/>
          <w:b/>
          <w:sz w:val="18"/>
          <w:szCs w:val="18"/>
        </w:rPr>
      </w:pPr>
    </w:p>
    <w:p w14:paraId="567067CE" w14:textId="314B1C1C" w:rsidR="0001289F" w:rsidRDefault="0001289F" w:rsidP="00CE5B3F">
      <w:pPr>
        <w:spacing w:after="0" w:line="259" w:lineRule="auto"/>
        <w:rPr>
          <w:rFonts w:ascii="Times New Roman" w:eastAsia="Times New Roman" w:hAnsi="Times New Roman" w:cs="Times New Roman"/>
          <w:b/>
          <w:sz w:val="18"/>
          <w:szCs w:val="18"/>
        </w:rPr>
      </w:pPr>
    </w:p>
    <w:p w14:paraId="29822295" w14:textId="007581C1" w:rsidR="0001289F" w:rsidRDefault="0001289F" w:rsidP="00CE5B3F">
      <w:pPr>
        <w:spacing w:after="0" w:line="259" w:lineRule="auto"/>
        <w:rPr>
          <w:rFonts w:ascii="Times New Roman" w:eastAsia="Times New Roman" w:hAnsi="Times New Roman" w:cs="Times New Roman"/>
          <w:b/>
          <w:sz w:val="18"/>
          <w:szCs w:val="18"/>
        </w:rPr>
      </w:pPr>
    </w:p>
    <w:p w14:paraId="36FF7180" w14:textId="00B211AC" w:rsidR="0001289F" w:rsidRDefault="0001289F" w:rsidP="00CE5B3F">
      <w:pPr>
        <w:spacing w:after="0" w:line="259" w:lineRule="auto"/>
        <w:rPr>
          <w:rFonts w:ascii="Times New Roman" w:eastAsia="Times New Roman" w:hAnsi="Times New Roman" w:cs="Times New Roman"/>
          <w:b/>
          <w:sz w:val="18"/>
          <w:szCs w:val="18"/>
        </w:rPr>
      </w:pPr>
    </w:p>
    <w:p w14:paraId="4A5CAE14" w14:textId="608F10C1" w:rsidR="0001289F" w:rsidRDefault="0001289F" w:rsidP="00CE5B3F">
      <w:pPr>
        <w:spacing w:after="0" w:line="259" w:lineRule="auto"/>
        <w:rPr>
          <w:rFonts w:ascii="Times New Roman" w:eastAsia="Times New Roman" w:hAnsi="Times New Roman" w:cs="Times New Roman"/>
          <w:b/>
          <w:sz w:val="18"/>
          <w:szCs w:val="18"/>
        </w:rPr>
      </w:pPr>
    </w:p>
    <w:p w14:paraId="6B829919" w14:textId="34171453" w:rsidR="0001289F" w:rsidRDefault="0001289F" w:rsidP="00CE5B3F">
      <w:pPr>
        <w:spacing w:after="0" w:line="259" w:lineRule="auto"/>
        <w:rPr>
          <w:rFonts w:ascii="Times New Roman" w:eastAsia="Times New Roman" w:hAnsi="Times New Roman" w:cs="Times New Roman"/>
          <w:b/>
          <w:sz w:val="18"/>
          <w:szCs w:val="18"/>
        </w:rPr>
      </w:pPr>
    </w:p>
    <w:p w14:paraId="403B4BBC" w14:textId="77777777" w:rsidR="0051342A" w:rsidRDefault="0051342A" w:rsidP="006B6375">
      <w:pPr>
        <w:spacing w:after="0" w:line="240" w:lineRule="auto"/>
        <w:jc w:val="center"/>
        <w:rPr>
          <w:rFonts w:ascii="Times New Roman" w:eastAsia="Times New Roman" w:hAnsi="Times New Roman" w:cs="Times New Roman"/>
          <w:b/>
          <w:bCs/>
          <w:sz w:val="18"/>
          <w:szCs w:val="18"/>
        </w:rPr>
      </w:pPr>
    </w:p>
    <w:p w14:paraId="337FF8AE" w14:textId="77777777" w:rsidR="006B6375" w:rsidRDefault="006B6375" w:rsidP="006B6375">
      <w:pPr>
        <w:spacing w:after="0" w:line="240" w:lineRule="auto"/>
        <w:jc w:val="center"/>
        <w:rPr>
          <w:rFonts w:ascii="Times New Roman" w:eastAsia="Times New Roman" w:hAnsi="Times New Roman" w:cs="Times New Roman"/>
          <w:b/>
          <w:bCs/>
          <w:sz w:val="18"/>
          <w:szCs w:val="18"/>
        </w:rPr>
      </w:pPr>
    </w:p>
    <w:p w14:paraId="55AAD12B" w14:textId="15247A99" w:rsidR="006B6375" w:rsidRDefault="006B6375" w:rsidP="006B6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bCs/>
          <w:sz w:val="18"/>
          <w:szCs w:val="18"/>
        </w:rPr>
        <w:t xml:space="preserve">Correspondence </w:t>
      </w:r>
      <w:r>
        <w:rPr>
          <w:rFonts w:ascii="Times New Roman" w:eastAsia="Times New Roman" w:hAnsi="Times New Roman" w:cs="Times New Roman"/>
          <w:sz w:val="18"/>
          <w:szCs w:val="18"/>
        </w:rPr>
        <w:t xml:space="preserve">: </w:t>
      </w:r>
      <w:r w:rsidRPr="005B3F59">
        <w:rPr>
          <w:rFonts w:ascii="Times New Roman" w:eastAsia="Times New Roman" w:hAnsi="Times New Roman" w:cs="Times New Roman"/>
          <w:sz w:val="18"/>
          <w:szCs w:val="18"/>
        </w:rPr>
        <w:t>Oklan B.T Liunokas</w:t>
      </w:r>
    </w:p>
    <w:p w14:paraId="15274CB2" w14:textId="493943CA" w:rsidR="006B6375" w:rsidRDefault="006B6375" w:rsidP="006B637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Email : </w:t>
      </w:r>
      <w:r w:rsidRPr="005B3F59">
        <w:rPr>
          <w:rFonts w:ascii="Times New Roman" w:eastAsia="Times New Roman" w:hAnsi="Times New Roman" w:cs="Times New Roman"/>
          <w:sz w:val="18"/>
          <w:szCs w:val="18"/>
        </w:rPr>
        <w:t>aliunokasoklan70@gmail.com</w:t>
      </w:r>
      <w:r>
        <w:rPr>
          <w:rFonts w:ascii="Times New Roman" w:eastAsia="Times New Roman" w:hAnsi="Times New Roman" w:cs="Times New Roman"/>
          <w:sz w:val="18"/>
          <w:szCs w:val="18"/>
        </w:rPr>
        <w:t>, no kontak (</w:t>
      </w:r>
      <w:r w:rsidRPr="006B6375">
        <w:rPr>
          <w:rFonts w:ascii="Times New Roman" w:eastAsia="Times New Roman" w:hAnsi="Times New Roman" w:cs="Times New Roman"/>
          <w:sz w:val="18"/>
          <w:szCs w:val="18"/>
        </w:rPr>
        <w:t>+62 813-3907-3021</w:t>
      </w:r>
      <w:r>
        <w:rPr>
          <w:rFonts w:ascii="Times New Roman" w:eastAsia="Times New Roman" w:hAnsi="Times New Roman" w:cs="Times New Roman"/>
          <w:sz w:val="18"/>
          <w:szCs w:val="18"/>
        </w:rPr>
        <w:t>)</w:t>
      </w:r>
    </w:p>
    <w:tbl>
      <w:tblPr>
        <w:tblW w:w="9855" w:type="dxa"/>
        <w:tblInd w:w="-108" w:type="dxa"/>
        <w:tblBorders>
          <w:top w:val="single" w:sz="24" w:space="0" w:color="000000"/>
          <w:left w:val="nil"/>
          <w:bottom w:val="nil"/>
          <w:right w:val="nil"/>
          <w:insideH w:val="nil"/>
          <w:insideV w:val="single" w:sz="24" w:space="0" w:color="000000"/>
        </w:tblBorders>
        <w:tblLayout w:type="fixed"/>
        <w:tblLook w:val="0400" w:firstRow="0" w:lastRow="0" w:firstColumn="0" w:lastColumn="0" w:noHBand="0" w:noVBand="1"/>
      </w:tblPr>
      <w:tblGrid>
        <w:gridCol w:w="9855"/>
      </w:tblGrid>
      <w:tr w:rsidR="006B6375" w14:paraId="6FCC1CA6" w14:textId="77777777" w:rsidTr="00EE077D">
        <w:tc>
          <w:tcPr>
            <w:tcW w:w="9855" w:type="dxa"/>
          </w:tcPr>
          <w:p w14:paraId="1FB5F5A0" w14:textId="1A673EBA" w:rsidR="006B6375" w:rsidRDefault="006B6375" w:rsidP="00EE077D">
            <w:pPr>
              <w:spacing w:after="0"/>
              <w:jc w:val="center"/>
              <w:rPr>
                <w:color w:val="FF0000"/>
                <w:sz w:val="18"/>
                <w:szCs w:val="18"/>
              </w:rPr>
            </w:pPr>
            <w:r>
              <w:rPr>
                <w:color w:val="FF0000"/>
                <w:sz w:val="18"/>
                <w:szCs w:val="18"/>
              </w:rPr>
              <w:t xml:space="preserve">• Received </w:t>
            </w:r>
            <w:r w:rsidR="007D098F">
              <w:rPr>
                <w:color w:val="FF0000"/>
                <w:sz w:val="18"/>
                <w:szCs w:val="18"/>
                <w:lang w:val="en-US"/>
              </w:rPr>
              <w:t>20 Mei 2026</w:t>
            </w:r>
            <w:r>
              <w:rPr>
                <w:color w:val="FF0000"/>
                <w:sz w:val="18"/>
                <w:szCs w:val="18"/>
              </w:rPr>
              <w:t xml:space="preserve"> • Accepted </w:t>
            </w:r>
            <w:r w:rsidR="007D098F">
              <w:rPr>
                <w:color w:val="FF0000"/>
                <w:sz w:val="18"/>
                <w:szCs w:val="18"/>
                <w:lang w:val="en-US"/>
              </w:rPr>
              <w:t>14 Juni 2026</w:t>
            </w:r>
            <w:r>
              <w:rPr>
                <w:color w:val="FF0000"/>
                <w:sz w:val="18"/>
                <w:szCs w:val="18"/>
              </w:rPr>
              <w:t xml:space="preserve"> • Published </w:t>
            </w:r>
            <w:r w:rsidR="007D098F">
              <w:rPr>
                <w:color w:val="FF0000"/>
                <w:sz w:val="18"/>
                <w:szCs w:val="18"/>
                <w:lang w:val="en-US"/>
              </w:rPr>
              <w:t>20 Juni 2026</w:t>
            </w:r>
          </w:p>
          <w:p w14:paraId="229CAE01" w14:textId="5A7F3ADE" w:rsidR="006B6375" w:rsidRDefault="006B6375" w:rsidP="00EE077D">
            <w:pPr>
              <w:spacing w:after="0"/>
              <w:jc w:val="center"/>
              <w:rPr>
                <w:sz w:val="18"/>
                <w:szCs w:val="18"/>
              </w:rPr>
            </w:pPr>
            <w:r>
              <w:rPr>
                <w:color w:val="FF0000"/>
                <w:sz w:val="18"/>
                <w:szCs w:val="18"/>
              </w:rPr>
              <w:t xml:space="preserve">• e - ISSN : 2961-7200 • DOI: </w:t>
            </w:r>
            <w:hyperlink r:id="rId11" w:history="1">
              <w:r w:rsidRPr="00B6446B">
                <w:rPr>
                  <w:rStyle w:val="Hyperlink"/>
                  <w:sz w:val="18"/>
                  <w:szCs w:val="18"/>
                </w:rPr>
                <w:t>https://doi.org/10.</w:t>
              </w:r>
              <w:r w:rsidRPr="00B6446B">
                <w:rPr>
                  <w:rStyle w:val="Hyperlink"/>
                  <w:sz w:val="18"/>
                  <w:szCs w:val="18"/>
                  <w:lang w:val="en-US"/>
                </w:rPr>
                <w:t>56742/jpm.v5i</w:t>
              </w:r>
              <w:r w:rsidR="00755BD7">
                <w:rPr>
                  <w:rStyle w:val="Hyperlink"/>
                  <w:sz w:val="18"/>
                  <w:szCs w:val="18"/>
                  <w:lang w:val="en-US"/>
                </w:rPr>
                <w:t>2</w:t>
              </w:r>
              <w:r w:rsidRPr="00B6446B">
                <w:rPr>
                  <w:rStyle w:val="Hyperlink"/>
                  <w:sz w:val="18"/>
                  <w:szCs w:val="18"/>
                  <w:lang w:val="en-US"/>
                </w:rPr>
                <w:t>.</w:t>
              </w:r>
            </w:hyperlink>
            <w:r w:rsidR="00755BD7">
              <w:rPr>
                <w:rStyle w:val="Hyperlink"/>
                <w:sz w:val="18"/>
                <w:szCs w:val="18"/>
                <w:lang w:val="en-US"/>
              </w:rPr>
              <w:t>309</w:t>
            </w:r>
          </w:p>
        </w:tc>
      </w:tr>
    </w:tbl>
    <w:p w14:paraId="5088D769" w14:textId="77777777" w:rsidR="009B1347" w:rsidRPr="00C96D5B" w:rsidRDefault="009B1347" w:rsidP="00C96D5B">
      <w:pPr>
        <w:jc w:val="center"/>
        <w:rPr>
          <w:b/>
          <w:bCs/>
          <w:sz w:val="24"/>
          <w:szCs w:val="24"/>
        </w:rPr>
        <w:sectPr w:rsidR="009B1347" w:rsidRPr="00C96D5B" w:rsidSect="00C86FF8">
          <w:headerReference w:type="default" r:id="rId12"/>
          <w:footerReference w:type="default" r:id="rId13"/>
          <w:pgSz w:w="11907" w:h="16839"/>
          <w:pgMar w:top="1440" w:right="1134" w:bottom="1440" w:left="1134" w:header="425" w:footer="850" w:gutter="0"/>
          <w:pgNumType w:start="633"/>
          <w:cols w:space="720"/>
          <w:titlePg/>
        </w:sectPr>
      </w:pPr>
    </w:p>
    <w:tbl>
      <w:tblPr>
        <w:tblStyle w:val="TableGrid"/>
        <w:tblW w:w="4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4509"/>
      </w:tblGrid>
      <w:tr w:rsidR="00C96D5B" w:rsidRPr="00C96D5B" w14:paraId="69696087" w14:textId="77777777" w:rsidTr="00340FE5">
        <w:trPr>
          <w:trHeight w:val="404"/>
        </w:trPr>
        <w:tc>
          <w:tcPr>
            <w:tcW w:w="4509" w:type="dxa"/>
            <w:shd w:val="clear" w:color="auto" w:fill="D0CECE" w:themeFill="background2" w:themeFillShade="E6"/>
            <w:vAlign w:val="center"/>
          </w:tcPr>
          <w:p w14:paraId="2E9A1D78" w14:textId="7DA063B6" w:rsidR="00C96D5B" w:rsidRPr="009D07AA" w:rsidRDefault="00C96D5B" w:rsidP="001A72C3">
            <w:pPr>
              <w:spacing w:after="120"/>
              <w:jc w:val="center"/>
              <w:rPr>
                <w:rFonts w:asciiTheme="majorBidi" w:eastAsia="Times New Roman" w:hAnsiTheme="majorBidi" w:cstheme="majorBidi"/>
                <w:b/>
                <w:bCs/>
                <w:sz w:val="24"/>
                <w:szCs w:val="24"/>
              </w:rPr>
            </w:pPr>
            <w:r w:rsidRPr="009D07AA">
              <w:rPr>
                <w:rFonts w:asciiTheme="majorBidi" w:eastAsia="Times New Roman" w:hAnsiTheme="majorBidi" w:cstheme="majorBidi"/>
                <w:b/>
                <w:bCs/>
                <w:sz w:val="24"/>
                <w:szCs w:val="24"/>
              </w:rPr>
              <w:lastRenderedPageBreak/>
              <w:t>PENDAHULUAN</w:t>
            </w:r>
          </w:p>
        </w:tc>
      </w:tr>
    </w:tbl>
    <w:p w14:paraId="43542AD1" w14:textId="6FD4B3CF" w:rsidR="005355BC" w:rsidRDefault="005355BC" w:rsidP="008C7510">
      <w:pPr>
        <w:pStyle w:val="NormalWeb"/>
        <w:spacing w:before="0" w:beforeAutospacing="0" w:after="0" w:afterAutospacing="0" w:line="276" w:lineRule="auto"/>
        <w:ind w:firstLine="567"/>
        <w:jc w:val="both"/>
        <w:rPr>
          <w:sz w:val="22"/>
          <w:szCs w:val="22"/>
        </w:rPr>
      </w:pPr>
      <w:r w:rsidRPr="005355BC">
        <w:rPr>
          <w:sz w:val="22"/>
          <w:szCs w:val="22"/>
        </w:rPr>
        <w:t>Mahasiswa baru merupakan kelompok usia produktif yang sedang mengalami transisi dari lingkungan sekolah ke perguruan tinggi dengan tuntutan akademik dan sosial yang lebih kompleks. Proses adaptasi tersebut sering disertai perubahan gaya hidup, seperti pola makan yang tidak teratur, kurang aktivitas fisik, waktu tidur yang tidak memadai, serta meningkatnya penggunaan gawai. Perubahan perilaku tersebut dapat meningkatkan risiko berbagai masalah kesehatan fisik dan psikologis, termasuk kelebihan berat badan, hipertensi, gangguan metabolik, stres, dan kelelahan</w:t>
      </w:r>
      <w:r>
        <w:rPr>
          <w:sz w:val="22"/>
          <w:szCs w:val="22"/>
        </w:rPr>
        <w:t xml:space="preserve"> </w:t>
      </w:r>
      <w:r w:rsidR="008C7510">
        <w:rPr>
          <w:sz w:val="22"/>
          <w:szCs w:val="22"/>
        </w:rPr>
        <w:fldChar w:fldCharType="begin" w:fldLock="1"/>
      </w:r>
      <w:r w:rsidR="008C7510">
        <w:rPr>
          <w:sz w:val="22"/>
          <w:szCs w:val="22"/>
        </w:rPr>
        <w:instrText>ADDIN CSL_CITATION {"citationItems":[{"id":"ITEM-1","itemData":{"ISSN":"3025-7727","author":[{"dropping-particle":"","family":"Farochi","given":"Mohammad Naufal","non-dropping-particle":"Al","parse-names":false,"suffix":""},{"dropping-particle":"","family":"Noor","given":"Tamjidillah","non-dropping-particle":"","parse-names":false,"suffix":""},{"dropping-particle":"","family":"Wibowo","given":"Aan","non-dropping-particle":"","parse-names":false,"suffix":""},{"dropping-particle":"","family":"Darmawan","given":"Didit","non-dropping-particle":"","parse-names":false,"suffix":""},{"dropping-particle":"","family":"Hardyansah","given":"Rommy","non-dropping-particle":"","parse-names":false,"suffix":""},{"dropping-particle":"","family":"Putra","given":"Arif Rachman","non-dropping-particle":"","parse-names":false,"suffix":""},{"dropping-particle":"","family":"Octavianto","given":"Andika Dwi","non-dropping-particle":"","parse-names":false,"suffix":""}],"container-title":"Economic Xilena Abdi Masyarakat","id":"ITEM-1","issue":"1","issued":{"date-parts":[["2024"]]},"page":"1-11","title":"Optimalisasi peran mahasiswa dalam peningkatan kesehatan masyarakat melalui program cek kesehatan di kampus Universitas Sunan Giri Surabaya","type":"article-journal","volume":"3"},"uris":["http://www.mendeley.com/documents/?uuid=36115f85-81ef-4978-a09f-b2851338e8c5"]},{"id":"ITEM-2","itemData":{"ISSN":"3032-2774","author":[{"dropping-particle":"","family":"Adam","given":"Yulien","non-dropping-particle":"","parse-names":false,"suffix":""},{"dropping-particle":"","family":"Purwandari","given":"Atik","non-dropping-particle":"","parse-names":false,"suffix":""},{"dropping-particle":"","family":"Lontaan","given":"Anita","non-dropping-particle":"","parse-names":false,"suffix":""},{"dropping-particle":"","family":"Montolalu","given":"Agnes","non-dropping-particle":"","parse-names":false,"suffix":""}],"container-title":"Jurnal Pengabdian Masyarakat Cendikia Jenius","id":"ITEM-2","issue":"1","issued":{"date-parts":[["2025"]]},"page":"1-11","title":"Deteksi Dini Faktor Resiko Remaja Putri Melalui Pemeriksaan Kesehatan Sederhana Sebagai Implementasi Interprofesional Colaboration (IPC)","type":"article-journal","volume":"3"},"uris":["http://www.mendeley.com/documents/?uuid=10564bdc-5518-449c-a634-8cbb90e876c9"]}],"mendeley":{"formattedCitation":"[1,2]","plainTextFormattedCitation":"[1,2]","previouslyFormattedCitation":"[1,2]"},"properties":{"noteIndex":0},"schema":"https://github.com/citation-style-language/schema/raw/master/csl-citation.json"}</w:instrText>
      </w:r>
      <w:r w:rsidR="008C7510">
        <w:rPr>
          <w:sz w:val="22"/>
          <w:szCs w:val="22"/>
        </w:rPr>
        <w:fldChar w:fldCharType="separate"/>
      </w:r>
      <w:r w:rsidR="008C7510" w:rsidRPr="000D4A19">
        <w:rPr>
          <w:noProof/>
          <w:sz w:val="22"/>
          <w:szCs w:val="22"/>
        </w:rPr>
        <w:t>[1,2]</w:t>
      </w:r>
      <w:r w:rsidR="008C7510">
        <w:rPr>
          <w:sz w:val="22"/>
          <w:szCs w:val="22"/>
        </w:rPr>
        <w:fldChar w:fldCharType="end"/>
      </w:r>
      <w:r w:rsidR="008C7510" w:rsidRPr="00290284">
        <w:rPr>
          <w:sz w:val="22"/>
          <w:szCs w:val="22"/>
        </w:rPr>
        <w:t xml:space="preserve">. </w:t>
      </w:r>
      <w:r w:rsidRPr="005355BC">
        <w:rPr>
          <w:sz w:val="22"/>
          <w:szCs w:val="22"/>
        </w:rPr>
        <w:t>Pada institusi pendidikan kesehatan, kondisi kesehatan mahasiswa menjadi faktor penting karena proses pembelajaran mencakup kegiatan laboratorium dan praktik klinik yang memerlukan kondisi fisik yang optimal</w:t>
      </w:r>
      <w:r>
        <w:rPr>
          <w:sz w:val="22"/>
          <w:szCs w:val="22"/>
        </w:rPr>
        <w:t xml:space="preserve"> </w:t>
      </w:r>
      <w:r w:rsidR="008C7510">
        <w:rPr>
          <w:sz w:val="22"/>
          <w:szCs w:val="22"/>
        </w:rPr>
        <w:fldChar w:fldCharType="begin" w:fldLock="1"/>
      </w:r>
      <w:r w:rsidR="008C7510">
        <w:rPr>
          <w:sz w:val="22"/>
          <w:szCs w:val="22"/>
        </w:rPr>
        <w:instrText>ADDIN CSL_CITATION {"citationItems":[{"id":"ITEM-1","itemData":{"ISSN":"3064-0814","author":[{"dropping-particle":"","family":"Putri","given":"Dya Ayu Agustiana","non-dropping-particle":"","parse-names":false,"suffix":""},{"dropping-particle":"","family":"Janattaka","given":"Nugrananda","non-dropping-particle":"","parse-names":false,"suffix":""},{"dropping-particle":"","family":"Astutik","given":"Leny Suryaning","non-dropping-particle":"","parse-names":false,"suffix":""},{"dropping-particle":"","family":"Jadmiko","given":"Rahmad Setyo","non-dropping-particle":"","parse-names":false,"suffix":""},{"dropping-particle":"","family":"Oktaviarini","given":"Nourma","non-dropping-particle":"","parse-names":false,"suffix":""},{"dropping-particle":"","family":"Satria","given":"Aditya Pringga","non-dropping-particle":"","parse-names":false,"suffix":""}],"container-title":"BERBAKTI: Jurnal Pengabdian Kepada Masyarakat","id":"ITEM-1","issue":"02","issued":{"date-parts":[["2025"]]},"page":"111-120","title":"Pendampingan Kesehatan Masyarakat melalui Pemeriksaan Kesehatan Dasar dan Edukasi Gaya Hidup Sehat","type":"article-journal","volume":"2"},"uris":["http://www.mendeley.com/documents/?uuid=2ab14b6c-53a4-45ea-b316-01a990958d13"]}],"mendeley":{"formattedCitation":"[3]","plainTextFormattedCitation":"[3]","previouslyFormattedCitation":"[3]"},"properties":{"noteIndex":0},"schema":"https://github.com/citation-style-language/schema/raw/master/csl-citation.json"}</w:instrText>
      </w:r>
      <w:r w:rsidR="008C7510">
        <w:rPr>
          <w:sz w:val="22"/>
          <w:szCs w:val="22"/>
        </w:rPr>
        <w:fldChar w:fldCharType="separate"/>
      </w:r>
      <w:r w:rsidR="008C7510" w:rsidRPr="000D4A19">
        <w:rPr>
          <w:noProof/>
          <w:sz w:val="22"/>
          <w:szCs w:val="22"/>
        </w:rPr>
        <w:t>[3]</w:t>
      </w:r>
      <w:r w:rsidR="008C7510">
        <w:rPr>
          <w:sz w:val="22"/>
          <w:szCs w:val="22"/>
        </w:rPr>
        <w:fldChar w:fldCharType="end"/>
      </w:r>
      <w:r w:rsidR="008C7510" w:rsidRPr="00290284">
        <w:rPr>
          <w:sz w:val="22"/>
          <w:szCs w:val="22"/>
        </w:rPr>
        <w:t xml:space="preserve">. </w:t>
      </w:r>
    </w:p>
    <w:p w14:paraId="5E0DD692" w14:textId="528A9F0A" w:rsidR="005355BC" w:rsidRDefault="005355BC" w:rsidP="005355BC">
      <w:pPr>
        <w:pStyle w:val="NormalWeb"/>
        <w:spacing w:before="0" w:beforeAutospacing="0" w:after="0" w:afterAutospacing="0" w:line="276" w:lineRule="auto"/>
        <w:ind w:firstLine="567"/>
        <w:jc w:val="both"/>
        <w:rPr>
          <w:sz w:val="22"/>
          <w:szCs w:val="22"/>
        </w:rPr>
      </w:pPr>
      <w:r w:rsidRPr="005355BC">
        <w:rPr>
          <w:sz w:val="22"/>
          <w:szCs w:val="22"/>
        </w:rPr>
        <w:t>Berbagai penelitian menunjukkan bahwa faktor risiko penyakit tidak menular mulai banyak ditemukan pada kelompok usia muda akibat penerapan gaya hidup yang kurang sehat</w:t>
      </w:r>
      <w:r>
        <w:rPr>
          <w:sz w:val="22"/>
          <w:szCs w:val="22"/>
        </w:rPr>
        <w:t xml:space="preserve"> </w:t>
      </w:r>
      <w:r w:rsidR="008C7510">
        <w:rPr>
          <w:sz w:val="22"/>
          <w:szCs w:val="22"/>
        </w:rPr>
        <w:fldChar w:fldCharType="begin" w:fldLock="1"/>
      </w:r>
      <w:r w:rsidR="008C7510">
        <w:rPr>
          <w:sz w:val="22"/>
          <w:szCs w:val="22"/>
        </w:rPr>
        <w:instrText>ADDIN CSL_CITATION {"citationItems":[{"id":"ITEM-1","itemData":{"author":[{"dropping-particle":"","family":"Butar-Butar","given":"Maria Haryanti","non-dropping-particle":"","parse-names":false,"suffix":""},{"dropping-particle":"","family":"Syaftriani","given":"Afina Muharani","non-dropping-particle":"","parse-names":false,"suffix":""},{"dropping-particle":"","family":"Lasmawanti","given":"Sri","non-dropping-particle":"","parse-names":false,"suffix":""},{"dropping-particle":"","family":"Agustyn","given":"Vinna Pratiwi","non-dropping-particle":"","parse-names":false,"suffix":""}],"container-title":"Jurnal Pengabdian Kepada Masyarakat Indonesia (JUPIKMAS)","id":"ITEM-1","issue":"2","issued":{"date-parts":[["2026"]]},"page":"204-208","title":"Pemeriksaan Kesehatan Dasar Dan Bakti Sosial Bagi Masyarakat Di Wilayah Petisah Tengah Medan","type":"article-journal","volume":"1"},"uris":["http://www.mendeley.com/documents/?uuid=83b8ab18-c468-4ec7-b21f-a172a0f1dfaa"]}],"mendeley":{"formattedCitation":"[4]","plainTextFormattedCitation":"[4]","previouslyFormattedCitation":"[4]"},"properties":{"noteIndex":0},"schema":"https://github.com/citation-style-language/schema/raw/master/csl-citation.json"}</w:instrText>
      </w:r>
      <w:r w:rsidR="008C7510">
        <w:rPr>
          <w:sz w:val="22"/>
          <w:szCs w:val="22"/>
        </w:rPr>
        <w:fldChar w:fldCharType="separate"/>
      </w:r>
      <w:r w:rsidR="008C7510" w:rsidRPr="000D4A19">
        <w:rPr>
          <w:noProof/>
          <w:sz w:val="22"/>
          <w:szCs w:val="22"/>
        </w:rPr>
        <w:t>[4]</w:t>
      </w:r>
      <w:r w:rsidR="008C7510">
        <w:rPr>
          <w:sz w:val="22"/>
          <w:szCs w:val="22"/>
        </w:rPr>
        <w:fldChar w:fldCharType="end"/>
      </w:r>
      <w:r w:rsidR="008C7510" w:rsidRPr="00290284">
        <w:rPr>
          <w:sz w:val="22"/>
          <w:szCs w:val="22"/>
        </w:rPr>
        <w:t>.</w:t>
      </w:r>
      <w:r>
        <w:rPr>
          <w:sz w:val="22"/>
          <w:szCs w:val="22"/>
        </w:rPr>
        <w:t xml:space="preserve"> N</w:t>
      </w:r>
      <w:r w:rsidRPr="005355BC">
        <w:rPr>
          <w:sz w:val="22"/>
          <w:szCs w:val="22"/>
        </w:rPr>
        <w:t>amun, kesadaran mahasiswa untuk melakukan pemeriksaan kesehatan secara rutin masih relatif rendah sehingga berbagai faktor risiko kesehatan sering tidak terdeteksi sejak dini. Kondisi ini menjadi perhatian karena masalah kesehatan yang tidak teridentifikasi dapat memengaruhi konsentrasi belajar, produktivitas akademik, kehadiran kuliah, dan kualitas hidup mahasiswa</w:t>
      </w:r>
      <w:r>
        <w:rPr>
          <w:sz w:val="22"/>
          <w:szCs w:val="22"/>
        </w:rPr>
        <w:t xml:space="preserve"> </w:t>
      </w:r>
      <w:r w:rsidR="00D05796">
        <w:rPr>
          <w:sz w:val="22"/>
          <w:szCs w:val="22"/>
        </w:rPr>
        <w:fldChar w:fldCharType="begin" w:fldLock="1"/>
      </w:r>
      <w:r w:rsidR="00D05796">
        <w:rPr>
          <w:sz w:val="22"/>
          <w:szCs w:val="22"/>
        </w:rPr>
        <w:instrText>ADDIN CSL_CITATION {"citationItems":[{"id":"ITEM-1","itemData":{"ISSN":"2963-3753","author":[{"dropping-particle":"","family":"Zayani","given":"Nofri","non-dropping-particle":"","parse-names":false,"suffix":""},{"dropping-particle":"","family":"Dora","given":"Mechi Silvia","non-dropping-particle":"","parse-names":false,"suffix":""},{"dropping-particle":"","family":"Alpices","given":"Alpices","non-dropping-particle":"","parse-names":false,"suffix":""},{"dropping-particle":"","family":"Yarnita","given":"Yarnita","non-dropping-particle":"","parse-names":false,"suffix":""},{"dropping-particle":"","family":"Mesra","given":"Selvira","non-dropping-particle":"","parse-names":false,"suffix":""},{"dropping-particle":"","family":"Cania","given":"Resca","non-dropping-particle":"","parse-names":false,"suffix":""}],"container-title":"Jurnal Pengabdian Masyarakat Bhinneka","id":"ITEM-1","issue":"3","issued":{"date-parts":[["2026"]]},"page":"3957-3963","title":"Pemeriksaan Kesehatan Gratis di SMAN 3 Pariaman: Guru Sehat, Siswa Cerdas","type":"article-journal","volume":"4"},"uris":["http://www.mendeley.com/documents/?uuid=49e49f97-350b-4162-9c72-9bf43d5b5302"]},{"id":"ITEM-2","itemData":{"ISSN":"2985-7295","author":[{"dropping-particle":"","family":"Pratidina","given":"Eki","non-dropping-particle":"","parse-names":false,"suffix":""},{"dropping-particle":"","family":"Jundiah","given":"R Siti","non-dropping-particle":"","parse-names":false,"suffix":""},{"dropping-particle":"","family":"Rokayah","given":"Cucu","non-dropping-particle":"","parse-names":false,"suffix":""},{"dropping-particle":"","family":"Irawan","given":"Susan","non-dropping-particle":"","parse-names":false,"suffix":""},{"dropping-particle":"","family":"Imam","given":"Haerul","non-dropping-particle":"","parse-names":false,"suffix":""}],"container-title":"Jurnal Medika: Medika","id":"ITEM-2","issue":"3","issued":{"date-parts":[["2025"]]},"page":"388-394","title":"Peningkatan literasi kesehatan masyarakat melalui edukasi dan pemeriksaan kesehatan di Kabupaten Bandung","type":"article-journal","volume":"4"},"uris":["http://www.mendeley.com/documents/?uuid=b7d1157b-bdf0-486f-beb5-3f8e94022c78"]},{"id":"ITEM-3","itemData":{"ISSN":"2798-9240","author":[{"dropping-particle":"","family":"Pratiwi","given":"Wulan","non-dropping-particle":"","parse-names":false,"suffix":""},{"dropping-particle":"","family":"Riani","given":"Putri Nur","non-dropping-particle":"","parse-names":false,"suffix":""},{"dropping-particle":"","family":"Farihi","given":"Muhammad Ilham","non-dropping-particle":"","parse-names":false,"suffix":""},{"dropping-particle":"","family":"Sari","given":"Ratih Indah","non-dropping-particle":"","parse-names":false,"suffix":""},{"dropping-particle":"","family":"Yuvita","given":"Yuvita","non-dropping-particle":"","parse-names":false,"suffix":""}],"container-title":"PROGRESIF: Jurnal Pengabdian Komunitas Pendidikan","id":"ITEM-3","issue":"1","issued":{"date-parts":[["2026"]]},"page":"9-18","title":"Implementasi Pemeriksaan Kesehatan Gratis Melalui Bakti Sosial di Swarangan","type":"article-journal","volume":"6"},"uris":["http://www.mendeley.com/documents/?uuid=2eb5a0a3-2499-4bbe-a7ae-0098a535b885"]}],"mendeley":{"formattedCitation":"[5–7]","plainTextFormattedCitation":"[5–7]"},"properties":{"noteIndex":0},"schema":"https://github.com/citation-style-language/schema/raw/master/csl-citation.json"}</w:instrText>
      </w:r>
      <w:r w:rsidR="00D05796">
        <w:rPr>
          <w:sz w:val="22"/>
          <w:szCs w:val="22"/>
        </w:rPr>
        <w:fldChar w:fldCharType="separate"/>
      </w:r>
      <w:r w:rsidR="00D05796" w:rsidRPr="00D05796">
        <w:rPr>
          <w:noProof/>
          <w:sz w:val="22"/>
          <w:szCs w:val="22"/>
        </w:rPr>
        <w:t>[5–7]</w:t>
      </w:r>
      <w:r w:rsidR="00D05796">
        <w:rPr>
          <w:sz w:val="22"/>
          <w:szCs w:val="22"/>
        </w:rPr>
        <w:fldChar w:fldCharType="end"/>
      </w:r>
      <w:r w:rsidRPr="00290284">
        <w:rPr>
          <w:sz w:val="22"/>
          <w:szCs w:val="22"/>
        </w:rPr>
        <w:t xml:space="preserve">. </w:t>
      </w:r>
    </w:p>
    <w:p w14:paraId="5A3A2AC7" w14:textId="3F3C7FA3" w:rsidR="005355BC" w:rsidRDefault="005355BC" w:rsidP="005355BC">
      <w:pPr>
        <w:pStyle w:val="NormalWeb"/>
        <w:spacing w:before="0" w:beforeAutospacing="0" w:after="0" w:afterAutospacing="0" w:line="276" w:lineRule="auto"/>
        <w:ind w:firstLine="567"/>
        <w:jc w:val="both"/>
        <w:rPr>
          <w:sz w:val="22"/>
          <w:szCs w:val="22"/>
        </w:rPr>
      </w:pPr>
      <w:r w:rsidRPr="005355BC">
        <w:rPr>
          <w:sz w:val="22"/>
          <w:szCs w:val="22"/>
        </w:rPr>
        <w:t>Di Poltekkes Kemenkes Kupang, pemeriksaan kesehatan mahasiswa umumnya dilakukan pada saat kebutuhan administrasi tertentu atau ketika mahasiswa telah mengalami keluhan kesehatan. Hingga saat ini belum tersedia data dasar kesehatan yang komprehensif sebagai gambaran kondisi kesehatan mahasiswa baru pada awal masa perkuliahan. Selain itu, kegiatan skrining kesehatan yang terintegrasi dengan edukasi perilaku hidup sehat belum dilaksanakan secara rutin dan terstruktur. Kondisi tersebut menyebabkan potensi faktor risiko kesehatan pada mahasiswa baru belum teridentifikasi secara optimal.</w:t>
      </w:r>
    </w:p>
    <w:p w14:paraId="21C17668" w14:textId="471A3EE8" w:rsidR="008C7510" w:rsidRDefault="005355BC" w:rsidP="008C7510">
      <w:pPr>
        <w:pStyle w:val="NormalWeb"/>
        <w:spacing w:before="0" w:beforeAutospacing="0" w:after="0" w:afterAutospacing="0" w:line="276" w:lineRule="auto"/>
        <w:ind w:firstLine="567"/>
        <w:jc w:val="both"/>
        <w:rPr>
          <w:sz w:val="22"/>
          <w:szCs w:val="22"/>
        </w:rPr>
      </w:pPr>
      <w:r w:rsidRPr="005355BC">
        <w:rPr>
          <w:sz w:val="22"/>
          <w:szCs w:val="22"/>
        </w:rPr>
        <w:t>Pemeriksaan kesehatan dasar merupakan salah satu upaya promotif dan preventif yang efektif untuk mendeteksi faktor risiko kesehatan sejak dini melalui pengukuran parameter sederhana seperti tekanan darah, indeks massa tubuh, lingkar perut, dan kadar gula darah. Integrasi kegiatan skrining dengan edukasi kesehatan juga dapat meningkatkan pengetahuan dan kesadaran mahasiswa dalam menerapkan perilaku hidup sehat serta melakukan pemantauan kesehatan secara mandiri</w:t>
      </w:r>
      <w:r w:rsidR="008C7510">
        <w:rPr>
          <w:sz w:val="22"/>
          <w:szCs w:val="22"/>
        </w:rPr>
        <w:t xml:space="preserve"> </w:t>
      </w:r>
      <w:r w:rsidR="00D05796">
        <w:rPr>
          <w:sz w:val="22"/>
          <w:szCs w:val="22"/>
        </w:rPr>
        <w:fldChar w:fldCharType="begin" w:fldLock="1"/>
      </w:r>
      <w:r w:rsidR="00D05796">
        <w:rPr>
          <w:sz w:val="22"/>
          <w:szCs w:val="22"/>
        </w:rPr>
        <w:instrText>ADDIN CSL_CITATION {"citationItems":[{"id":"ITEM-1","itemData":{"ISSN":"2830-0416","author":[{"dropping-particle":"","family":"Thalib","given":"Prawitra","non-dropping-particle":"","parse-names":false,"suffix":""},{"dropping-particle":"","family":"Diana","given":"Eva","non-dropping-particle":"","parse-names":false,"suffix":""},{"dropping-particle":"","family":"Kholiq","given":"Mohamad Nur","non-dropping-particle":"","parse-names":false,"suffix":""}],"container-title":"Janaloka","id":"ITEM-1","issue":"1","issued":{"date-parts":[["2022"]]},"page":"28-38","title":"Pengabdian Masyarakat melalui Pemeriksaan Kesehatan Gratis GeNose C19 pada Santri Pondok Pesantren Nurul Khidmah Surabaya","type":"article-journal","volume":"1"},"uris":["http://www.mendeley.com/documents/?uuid=049520aa-6a0c-4f4a-9ec1-80397524fbcc"]},{"id":"ITEM-2","itemData":{"ISSN":"2655-5263","author":[{"dropping-particle":"","family":"Cholidah","given":"Rifana","non-dropping-particle":"","parse-names":false,"suffix":""},{"dropping-particle":"","family":"Yudhanto","given":"Didit","non-dropping-particle":"","parse-names":false,"suffix":""},{"dropping-particle":"","family":"Firdausy","given":"Faiza","non-dropping-particle":"","parse-names":false,"suffix":""},{"dropping-particle":"","family":"Putri","given":"Baiq Rizkiqa Catur","non-dropping-particle":"","parse-names":false,"suffix":""},{"dropping-particle":"","family":"Sadi","given":"Muhammad Akramul Faroghy","non-dropping-particle":"","parse-names":false,"suffix":""}],"container-title":"Jurnal Pengabdian Magister Pendidikan IPA","id":"ITEM-2","issue":"1","issued":{"date-parts":[["2025"]]},"page":"310-314","title":"Pemeriksaan Kesehatan Gratis: Poli Umum, THT, Mata, dan Kandungan oleh Tim Bantuan Medis Bumi Gora Fakultas Kedokteran dan Ilmu Kesehatan Universitas Mataram di Desa Kuta, Kecamatan Pujut, Kabupaten Lombok Tengah","type":"article-journal","volume":"8"},"uris":["http://www.mendeley.com/documents/?uuid=7b9898fa-d475-4db5-8a71-fcf8289fc7c8"]}],"mendeley":{"formattedCitation":"[8,9]","plainTextFormattedCitation":"[8,9]","previouslyFormattedCitation":"[8,9]"},"properties":{"noteIndex":0},"schema":"https://github.com/citation-style-language/schema/raw/master/csl-citation.json"}</w:instrText>
      </w:r>
      <w:r w:rsidR="00D05796">
        <w:rPr>
          <w:sz w:val="22"/>
          <w:szCs w:val="22"/>
        </w:rPr>
        <w:fldChar w:fldCharType="separate"/>
      </w:r>
      <w:r w:rsidR="00D05796" w:rsidRPr="00D05796">
        <w:rPr>
          <w:noProof/>
          <w:sz w:val="22"/>
          <w:szCs w:val="22"/>
        </w:rPr>
        <w:t>[8,9]</w:t>
      </w:r>
      <w:r w:rsidR="00D05796">
        <w:rPr>
          <w:sz w:val="22"/>
          <w:szCs w:val="22"/>
        </w:rPr>
        <w:fldChar w:fldCharType="end"/>
      </w:r>
      <w:r w:rsidR="008C7510" w:rsidRPr="00290284">
        <w:rPr>
          <w:sz w:val="22"/>
          <w:szCs w:val="22"/>
        </w:rPr>
        <w:t>.</w:t>
      </w:r>
    </w:p>
    <w:p w14:paraId="40966912" w14:textId="77777777" w:rsidR="00914630" w:rsidRDefault="00914630" w:rsidP="00914630">
      <w:pPr>
        <w:spacing w:after="0"/>
        <w:ind w:firstLine="567"/>
        <w:jc w:val="both"/>
        <w:rPr>
          <w:rFonts w:ascii="Times New Roman" w:eastAsia="Times New Roman" w:hAnsi="Times New Roman" w:cs="Times New Roman"/>
        </w:rPr>
      </w:pPr>
    </w:p>
    <w:tbl>
      <w:tblPr>
        <w:tblW w:w="47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06"/>
      </w:tblGrid>
      <w:tr w:rsidR="00914630" w14:paraId="549185A7" w14:textId="77777777" w:rsidTr="001A72C3">
        <w:trPr>
          <w:trHeight w:val="20"/>
        </w:trPr>
        <w:tc>
          <w:tcPr>
            <w:tcW w:w="4706" w:type="dxa"/>
            <w:tcBorders>
              <w:top w:val="nil"/>
              <w:left w:val="nil"/>
              <w:bottom w:val="nil"/>
              <w:right w:val="nil"/>
            </w:tcBorders>
            <w:shd w:val="clear" w:color="auto" w:fill="D9D9D9"/>
          </w:tcPr>
          <w:p w14:paraId="6549A025" w14:textId="77777777" w:rsidR="00914630" w:rsidRDefault="00914630" w:rsidP="001A72C3">
            <w:pPr>
              <w:spacing w:after="1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METODE</w:t>
            </w:r>
          </w:p>
        </w:tc>
      </w:tr>
    </w:tbl>
    <w:p w14:paraId="5243C0EA" w14:textId="79CDDC0B" w:rsidR="009A2AA0" w:rsidRDefault="009A2AA0" w:rsidP="009A2AA0">
      <w:pPr>
        <w:pStyle w:val="NormalWeb"/>
        <w:spacing w:before="0" w:beforeAutospacing="0" w:after="0" w:afterAutospacing="0" w:line="276" w:lineRule="auto"/>
        <w:ind w:firstLine="567"/>
        <w:jc w:val="both"/>
        <w:rPr>
          <w:sz w:val="22"/>
          <w:szCs w:val="22"/>
        </w:rPr>
      </w:pPr>
      <w:r w:rsidRPr="009A2AA0">
        <w:rPr>
          <w:sz w:val="22"/>
          <w:szCs w:val="22"/>
        </w:rPr>
        <w:t>Kegiatan pengabdian kepada masyarakat ini menggunakan pendekatan deskriptif-partisipatif yang dilaksanakan pada mahasiswa baru Poltekkes Kemenkes Kupang. Sebanyak 126 mahasiswa baru berpartisipasi dalam kegiatan yang meliputi pemeriksaan kesehatan dasar, edukasi kesehatan, evaluasi pengetahuan, dan monitoring tindak lanjut. Pelaksanaan kegiatan dilakukan melalui empat tahap, yaitu persiapan, pelaksanaan, evaluasi, dan monitoring.</w:t>
      </w:r>
    </w:p>
    <w:p w14:paraId="3091BA98" w14:textId="77777777" w:rsidR="009A2AA0" w:rsidRPr="009A2AA0" w:rsidRDefault="009A2AA0" w:rsidP="009A2AA0">
      <w:pPr>
        <w:pStyle w:val="NormalWeb"/>
        <w:spacing w:before="0" w:beforeAutospacing="0" w:after="0" w:afterAutospacing="0" w:line="276" w:lineRule="auto"/>
        <w:ind w:firstLine="567"/>
        <w:jc w:val="both"/>
        <w:rPr>
          <w:sz w:val="22"/>
          <w:szCs w:val="22"/>
        </w:rPr>
      </w:pPr>
      <w:r w:rsidRPr="009A2AA0">
        <w:rPr>
          <w:sz w:val="22"/>
          <w:szCs w:val="22"/>
        </w:rPr>
        <w:t>Tahap persiapan diawali dengan koordinasi antara tim pelaksana dan pihak kampus terkait jadwal, lokasi, sasaran kegiatan, serta dukungan sarana dan prasarana. Tim kemudian menyusun alur kegiatan, membagi tugas petugas pemeriksa, dan menyiapkan instrumen pemeriksaan kesehatan serta media edukasi. Alat yang digunakan meliputi tensimeter digital, timbangan berat badan, alat ukur tinggi badan, pita ukur lingkar perut, dan alat pemeriksaan gula darah sewaktu. Selain itu, disiapkan kuesioner pre-test dan post-test untuk mengukur pengetahuan mahasiswa mengenai perilaku hidup sehat dan faktor risiko penyakit tidak menular.</w:t>
      </w:r>
    </w:p>
    <w:p w14:paraId="3FBD76F5" w14:textId="310AED13" w:rsidR="009A2AA0" w:rsidRPr="009A2AA0" w:rsidRDefault="009A2AA0" w:rsidP="009A2AA0">
      <w:pPr>
        <w:pStyle w:val="NormalWeb"/>
        <w:spacing w:before="0" w:beforeAutospacing="0" w:after="0" w:afterAutospacing="0" w:line="276" w:lineRule="auto"/>
        <w:ind w:firstLine="567"/>
        <w:jc w:val="both"/>
        <w:rPr>
          <w:sz w:val="22"/>
          <w:szCs w:val="22"/>
        </w:rPr>
      </w:pPr>
      <w:r w:rsidRPr="009A2AA0">
        <w:rPr>
          <w:sz w:val="22"/>
          <w:szCs w:val="22"/>
        </w:rPr>
        <w:t>Tahap pelaksanaan diawali dengan registrasi peserta dan pengisian identitas dasar. Selanjutnya dilakukan pemeriksaan kesehatan meliputi pengukuran tinggi badan, berat badan, indeks massa tubuh (IMT), lingkar perut, tekanan darah, dan gula darah sewaktu. Interpretasi hasil menggunakan kriteria standar, yaitu tekanan darah normal &lt;120/80 mmHg, IMT normal 18</w:t>
      </w:r>
      <w:r w:rsidR="00F44AFE">
        <w:rPr>
          <w:sz w:val="22"/>
          <w:szCs w:val="22"/>
        </w:rPr>
        <w:t>.</w:t>
      </w:r>
      <w:r w:rsidRPr="009A2AA0">
        <w:rPr>
          <w:sz w:val="22"/>
          <w:szCs w:val="22"/>
        </w:rPr>
        <w:t>5–24</w:t>
      </w:r>
      <w:r w:rsidR="00F44AFE">
        <w:rPr>
          <w:sz w:val="22"/>
          <w:szCs w:val="22"/>
        </w:rPr>
        <w:t>.</w:t>
      </w:r>
      <w:r w:rsidRPr="009A2AA0">
        <w:rPr>
          <w:sz w:val="22"/>
          <w:szCs w:val="22"/>
        </w:rPr>
        <w:t>9 kg/m², overweight 25</w:t>
      </w:r>
      <w:r w:rsidR="00F44AFE">
        <w:rPr>
          <w:sz w:val="22"/>
          <w:szCs w:val="22"/>
        </w:rPr>
        <w:t>.</w:t>
      </w:r>
      <w:r w:rsidRPr="009A2AA0">
        <w:rPr>
          <w:sz w:val="22"/>
          <w:szCs w:val="22"/>
        </w:rPr>
        <w:t>0–29</w:t>
      </w:r>
      <w:r w:rsidR="00F44AFE">
        <w:rPr>
          <w:sz w:val="22"/>
          <w:szCs w:val="22"/>
        </w:rPr>
        <w:t>.</w:t>
      </w:r>
      <w:r w:rsidRPr="009A2AA0">
        <w:rPr>
          <w:sz w:val="22"/>
          <w:szCs w:val="22"/>
        </w:rPr>
        <w:t>9 kg/m², obesitas ≥30 kg/m², lingkar perut berisiko ≥90 cm pada laki-laki dan ≥80 cm pada perempuan, serta gula darah sewaktu normal &lt;200 mg/dL. Hasil pemeriksaan dicatat pada lembar observasi dan disampaikan kepada peserta sebagai umpan balik awal mengenai kondisi kesehatannya.</w:t>
      </w:r>
    </w:p>
    <w:p w14:paraId="4D8DC4B8" w14:textId="77777777" w:rsidR="009A2AA0" w:rsidRPr="009A2AA0" w:rsidRDefault="009A2AA0" w:rsidP="009A2AA0">
      <w:pPr>
        <w:pStyle w:val="NormalWeb"/>
        <w:spacing w:before="0" w:beforeAutospacing="0" w:after="0" w:afterAutospacing="0" w:line="276" w:lineRule="auto"/>
        <w:ind w:firstLine="567"/>
        <w:jc w:val="both"/>
        <w:rPr>
          <w:sz w:val="22"/>
          <w:szCs w:val="22"/>
        </w:rPr>
      </w:pPr>
      <w:r w:rsidRPr="009A2AA0">
        <w:rPr>
          <w:sz w:val="22"/>
          <w:szCs w:val="22"/>
        </w:rPr>
        <w:t>Setelah pemeriksaan kesehatan, peserta mengikuti sesi edukasi mengenai pola makan seimbang, aktivitas fisik, manajemen stres, istirahat yang cukup, dan pencegahan penyakit tidak menular pada usia muda. Edukasi diberikan melalui metode ceramah interaktif, diskusi, dan tanya jawab.</w:t>
      </w:r>
    </w:p>
    <w:p w14:paraId="41C4980D" w14:textId="77777777" w:rsidR="009A2AA0" w:rsidRPr="009A2AA0" w:rsidRDefault="009A2AA0" w:rsidP="009A2AA0">
      <w:pPr>
        <w:pStyle w:val="NormalWeb"/>
        <w:spacing w:before="0" w:beforeAutospacing="0" w:after="0" w:afterAutospacing="0" w:line="276" w:lineRule="auto"/>
        <w:ind w:firstLine="567"/>
        <w:jc w:val="both"/>
        <w:rPr>
          <w:sz w:val="22"/>
          <w:szCs w:val="22"/>
        </w:rPr>
      </w:pPr>
      <w:r w:rsidRPr="009A2AA0">
        <w:rPr>
          <w:sz w:val="22"/>
          <w:szCs w:val="22"/>
        </w:rPr>
        <w:t>Tahap evaluasi dilakukan menggunakan desain pre-test dan post-test. Instrumen yang digunakan berupa kuesioner berisi 10 pertanyaan pilihan ganda mengenai perilaku hidup sehat dan faktor risiko penyakit tidak menular. Setiap jawaban benar diberi skor 1 dan jawaban salah skor 0, kemudian dikonversi menjadi nilai 0–100. Keberhasilan program ditetapkan berdasarkan indikator: (1) minimal 80% peserta mengikuti seluruh rangkaian kegiatan, (2) terjadi peningkatan nilai rata-rata pengetahuan setelah edukasi dibandingkan sebelum edukasi, dan (3) teridentifikasinya mahasiswa yang memiliki faktor risiko kesehatan untuk mendapatkan tindak lanjut.</w:t>
      </w:r>
    </w:p>
    <w:p w14:paraId="697F9591" w14:textId="4F3312F2" w:rsidR="009A2AA0" w:rsidRDefault="009A2AA0" w:rsidP="009A2AA0">
      <w:pPr>
        <w:pStyle w:val="NormalWeb"/>
        <w:spacing w:before="0" w:beforeAutospacing="0" w:after="0" w:afterAutospacing="0" w:line="276" w:lineRule="auto"/>
        <w:ind w:firstLine="567"/>
        <w:jc w:val="both"/>
        <w:rPr>
          <w:sz w:val="22"/>
          <w:szCs w:val="22"/>
        </w:rPr>
      </w:pPr>
      <w:r w:rsidRPr="009A2AA0">
        <w:rPr>
          <w:sz w:val="22"/>
          <w:szCs w:val="22"/>
        </w:rPr>
        <w:t>Tahap monitoring dilakukan selama dua minggu setelah kegiatan melalui koordinasi dengan unit pelayanan kesehatan kampus. Mahasiswa yang teridentifikasi memiliki faktor risiko seperti overweight, obesitas, tekanan darah tinggi, atau kadar gula darah meningkat diberikan edukasi lanjutan dan rekomendasi untuk melakukan pemeriksaan lebih lanjut di fasilitas pelayanan kesehatan. Monitoring juga dilakukan melalui komunikasi daring untuk mengetahui tindak lanjut yang telah dilakukan peserta serta perubahan perilaku kesehatan yang mulai diterapkan setelah kegiatan edukasi.</w:t>
      </w:r>
    </w:p>
    <w:p w14:paraId="4A9594DE" w14:textId="77777777" w:rsidR="008C7510" w:rsidRDefault="008C7510" w:rsidP="008C7510">
      <w:pPr>
        <w:pStyle w:val="ListParagraph"/>
        <w:spacing w:after="0"/>
        <w:ind w:left="426"/>
        <w:jc w:val="both"/>
        <w:rPr>
          <w:rFonts w:ascii="Times New Roman" w:eastAsia="Times New Roman" w:hAnsi="Times New Roman" w:cs="Times New Roman"/>
        </w:rPr>
      </w:pPr>
    </w:p>
    <w:tbl>
      <w:tblPr>
        <w:tblW w:w="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9"/>
      </w:tblGrid>
      <w:tr w:rsidR="00914630" w14:paraId="4F1D5641" w14:textId="77777777" w:rsidTr="002A0151">
        <w:trPr>
          <w:jc w:val="center"/>
        </w:trPr>
        <w:tc>
          <w:tcPr>
            <w:tcW w:w="4459" w:type="dxa"/>
            <w:tcBorders>
              <w:top w:val="nil"/>
              <w:left w:val="nil"/>
              <w:bottom w:val="nil"/>
              <w:right w:val="nil"/>
            </w:tcBorders>
            <w:shd w:val="clear" w:color="auto" w:fill="D9D9D9"/>
          </w:tcPr>
          <w:p w14:paraId="0541F9EB" w14:textId="77777777" w:rsidR="00914630" w:rsidRDefault="00914630" w:rsidP="001A72C3">
            <w:pPr>
              <w:spacing w:after="120"/>
              <w:ind w:right="-185"/>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HASIL</w:t>
            </w:r>
          </w:p>
        </w:tc>
      </w:tr>
    </w:tbl>
    <w:p w14:paraId="4C43E61C" w14:textId="77777777" w:rsidR="008C7510" w:rsidRPr="00290284" w:rsidRDefault="008C7510" w:rsidP="008C7510">
      <w:pPr>
        <w:pStyle w:val="NormalWeb"/>
        <w:spacing w:before="0" w:beforeAutospacing="0" w:after="0" w:afterAutospacing="0" w:line="276" w:lineRule="auto"/>
        <w:ind w:firstLine="567"/>
        <w:jc w:val="both"/>
        <w:rPr>
          <w:sz w:val="22"/>
          <w:szCs w:val="22"/>
        </w:rPr>
      </w:pPr>
      <w:r w:rsidRPr="00290284">
        <w:rPr>
          <w:sz w:val="22"/>
          <w:szCs w:val="22"/>
        </w:rPr>
        <w:t xml:space="preserve">Kegiatan pengabdian kepada masyarakat berupa penerapan pemeriksaan kesehatan dasar sebagai skrining masalah kesehatan mahasiswa baru dilaksanakan di </w:t>
      </w:r>
      <w:r w:rsidRPr="00290284">
        <w:rPr>
          <w:rStyle w:val="whitespace-normal"/>
          <w:rFonts w:eastAsiaTheme="majorEastAsia"/>
          <w:sz w:val="22"/>
          <w:szCs w:val="22"/>
        </w:rPr>
        <w:t>Poltekkes Kemenkes Kupang</w:t>
      </w:r>
      <w:r w:rsidRPr="00290284">
        <w:rPr>
          <w:sz w:val="22"/>
          <w:szCs w:val="22"/>
        </w:rPr>
        <w:t xml:space="preserve"> pada bulan September 2025 dalam rangkaian kegiatan penerimaan mahasiswa baru tahun akademik 2025/2026. Sasaran kegiatan adalah mahasiswa baru dari beberapa program studi kesehatan, meliputi Keperawatan, Kebidanan, Gizi, dan Teknologi Laboratorium Medis dengan jumlah peserta sebanyak 126 mahasiswa. Kegiatan ini dilaksanakan oleh tim pengabdian yang terdiri atas enam dosen, dua tenaga laboratorium kesehatan, serta delapan mahasiswa pendamping yang membantu proses registrasi, pemeriksaan kesehatan, edukasi kesehatan, dokumentasi, dan evaluasi kegiatan. Seluruh rangkaian kegiatan berlangsung di aula kampus dan laboratorium keterampilan dasar kesehatan dengan dukungan fasilitas dari pihak institusi sehingga kegiatan dapat berjalan dengan tertib dan lancar.</w:t>
      </w:r>
    </w:p>
    <w:p w14:paraId="63DFA147" w14:textId="77777777" w:rsidR="008C7510" w:rsidRPr="00290284" w:rsidRDefault="008C7510" w:rsidP="008C7510">
      <w:pPr>
        <w:pStyle w:val="NormalWeb"/>
        <w:spacing w:before="0" w:beforeAutospacing="0" w:after="0" w:afterAutospacing="0" w:line="276" w:lineRule="auto"/>
        <w:ind w:firstLine="567"/>
        <w:jc w:val="both"/>
        <w:rPr>
          <w:sz w:val="22"/>
          <w:szCs w:val="22"/>
        </w:rPr>
      </w:pPr>
      <w:r w:rsidRPr="00290284">
        <w:rPr>
          <w:sz w:val="22"/>
          <w:szCs w:val="22"/>
        </w:rPr>
        <w:t>Pelaksanaan kegiatan diawali dengan pemeriksaan kesehatan dasar yang meliputi pengukuran tekanan darah, tinggi badan, berat badan, indeks massa tubuh, lingkar perut, dan pemeriksaan gula darah sewaktu. Berdasarkan hasil pemeriksaan, diperoleh gambaran bahwa sebanyak 78 mahasiswa (61.9%) memiliki indeks massa tubuh dalam kategori normal, sebanyak 29 mahasiswa (23.0%) termasuk kategori overweight, dan sebanyak 11 mahasiswa (8.7%) termasuk kategori obesitas, sedangkan 8 mahasiswa (6.4%) berada pada kategori kurus. Hasil pemeriksaan tekanan darah menunjukkan sebanyak 19 mahasiswa (15.1%) memiliki tekanan darah di atas batas normal, sementara pemeriksaan gula darah sewaktu menemukan sebanyak 7 mahasiswa (5.6%) memiliki kadar gula darah yang memerlukan pemantauan lanjutan. Hasil tersebut menunjukkan bahwa masih terdapat mahasiswa baru yang memiliki faktor risiko penyakit tidak menular meskipun berada pada kelompok usia muda dan produktif.</w:t>
      </w:r>
    </w:p>
    <w:p w14:paraId="153B0A38" w14:textId="77777777" w:rsidR="008C7510" w:rsidRPr="00290284" w:rsidRDefault="008C7510" w:rsidP="008C7510">
      <w:pPr>
        <w:pStyle w:val="NormalWeb"/>
        <w:spacing w:before="0" w:beforeAutospacing="0" w:after="0" w:afterAutospacing="0" w:line="276" w:lineRule="auto"/>
        <w:ind w:firstLine="567"/>
        <w:jc w:val="both"/>
        <w:rPr>
          <w:sz w:val="22"/>
          <w:szCs w:val="22"/>
        </w:rPr>
      </w:pPr>
      <w:r w:rsidRPr="00290284">
        <w:rPr>
          <w:sz w:val="22"/>
          <w:szCs w:val="22"/>
        </w:rPr>
        <w:t>Selain pemeriksaan kesehatan, peserta juga diberikan edukasi mengenai perilaku hidup sehat, pola makan seimbang, aktivitas fisik, manajemen stres, dan pentingnya pemeriksaan kesehatan rutin. Untuk mengetahui efektivitas edukasi, dilakukan pengukuran pengetahuan menggunakan pre-test dan post-test terhadap seluruh peserta. Hasil evaluasi menunjukkan adanya peningkatan rata-rata nilai pengetahuan mahasiswa dari 61.8 sebelum edukasi menjadi 86.4 setelah edukasi diberikan. Sebelum kegiatan edukasi, hanya sebanyak 34 mahasiswa (27.0%) yang memiliki kategori pengetahuan baik mengenai perilaku hidup sehat, sedangkan setelah edukasi meningkat menjadi 103 mahasiswa (81.7%). Peningkatan tersebut menunjukkan bahwa edukasi kesehatan yang diberikan mampu meningkatkan pemahaman mahasiswa mengenai pentingnya menjaga kesehatan sejak dini.</w:t>
      </w:r>
    </w:p>
    <w:p w14:paraId="1503CFA0" w14:textId="4A0CFBCE" w:rsidR="008C7510" w:rsidRDefault="008C7510" w:rsidP="008C7510">
      <w:pPr>
        <w:pStyle w:val="NormalWeb"/>
        <w:spacing w:before="0" w:beforeAutospacing="0" w:after="0" w:afterAutospacing="0" w:line="276" w:lineRule="auto"/>
        <w:ind w:firstLine="567"/>
        <w:jc w:val="both"/>
        <w:rPr>
          <w:sz w:val="22"/>
          <w:szCs w:val="22"/>
        </w:rPr>
      </w:pPr>
      <w:r w:rsidRPr="00290284">
        <w:rPr>
          <w:sz w:val="22"/>
          <w:szCs w:val="22"/>
        </w:rPr>
        <w:t xml:space="preserve">Perubahan sikap dan perilaku mahasiswa juga terlihat berdasarkan hasil evaluasi akhir kegiatan. Sebanyak 98 mahasiswa (77.8%) menyatakan mulai memahami pentingnya melakukan pemeriksaan kesehatan secara rutin setelah mengikuti kegiatan, dan sebanyak 92 mahasiswa (73.0%) menyatakan berkomitmen untuk memperbaiki pola hidup sehat seperti mengurangi konsumsi makanan cepat saji, meningkatkan aktivitas fisik, memperbaiki pola tidur, dan mengurangi kebiasaan begadang. Selain itu, mahasiswa yang memiliki hasil pemeriksaan di luar batas normal menyatakan lebih termotivasi untuk melakukan pemeriksaan lanjutan ke fasilitas kesehatan. </w:t>
      </w:r>
    </w:p>
    <w:p w14:paraId="3B5B016E" w14:textId="339ED8DA" w:rsidR="00E83B06" w:rsidRDefault="00E83B06" w:rsidP="008C7510">
      <w:pPr>
        <w:pStyle w:val="NormalWeb"/>
        <w:spacing w:before="0" w:beforeAutospacing="0" w:after="0" w:afterAutospacing="0" w:line="276" w:lineRule="auto"/>
        <w:ind w:firstLine="567"/>
        <w:jc w:val="both"/>
        <w:rPr>
          <w:sz w:val="22"/>
          <w:szCs w:val="22"/>
        </w:rPr>
      </w:pPr>
      <w:r w:rsidRPr="00E83B06">
        <w:rPr>
          <w:sz w:val="22"/>
          <w:szCs w:val="22"/>
        </w:rPr>
        <w:drawing>
          <wp:anchor distT="0" distB="0" distL="114300" distR="114300" simplePos="0" relativeHeight="251662336" behindDoc="0" locked="0" layoutInCell="1" allowOverlap="1" wp14:anchorId="2BABA056" wp14:editId="62ACB90A">
            <wp:simplePos x="0" y="0"/>
            <wp:positionH relativeFrom="column">
              <wp:posOffset>34290</wp:posOffset>
            </wp:positionH>
            <wp:positionV relativeFrom="paragraph">
              <wp:posOffset>36195</wp:posOffset>
            </wp:positionV>
            <wp:extent cx="2831465" cy="2712720"/>
            <wp:effectExtent l="0" t="0" r="698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31465" cy="2712720"/>
                    </a:xfrm>
                    <a:prstGeom prst="rect">
                      <a:avLst/>
                    </a:prstGeom>
                  </pic:spPr>
                </pic:pic>
              </a:graphicData>
            </a:graphic>
            <wp14:sizeRelV relativeFrom="margin">
              <wp14:pctHeight>0</wp14:pctHeight>
            </wp14:sizeRelV>
          </wp:anchor>
        </w:drawing>
      </w:r>
    </w:p>
    <w:p w14:paraId="5851B7C4" w14:textId="47C51035" w:rsidR="00E83B06" w:rsidRDefault="00E83B06" w:rsidP="008C7510">
      <w:pPr>
        <w:pStyle w:val="NormalWeb"/>
        <w:spacing w:before="0" w:beforeAutospacing="0" w:after="0" w:afterAutospacing="0" w:line="276" w:lineRule="auto"/>
        <w:ind w:firstLine="567"/>
        <w:jc w:val="both"/>
        <w:rPr>
          <w:sz w:val="22"/>
          <w:szCs w:val="22"/>
        </w:rPr>
      </w:pPr>
    </w:p>
    <w:p w14:paraId="73191BEC" w14:textId="5F832EA0" w:rsidR="00E83B06" w:rsidRDefault="00E83B06" w:rsidP="008C7510">
      <w:pPr>
        <w:pStyle w:val="NormalWeb"/>
        <w:spacing w:before="0" w:beforeAutospacing="0" w:after="0" w:afterAutospacing="0" w:line="276" w:lineRule="auto"/>
        <w:ind w:firstLine="567"/>
        <w:jc w:val="both"/>
        <w:rPr>
          <w:sz w:val="22"/>
          <w:szCs w:val="22"/>
        </w:rPr>
      </w:pPr>
    </w:p>
    <w:p w14:paraId="3760B77C" w14:textId="5E5F0755" w:rsidR="00E83B06" w:rsidRDefault="00E83B06" w:rsidP="008C7510">
      <w:pPr>
        <w:pStyle w:val="NormalWeb"/>
        <w:spacing w:before="0" w:beforeAutospacing="0" w:after="0" w:afterAutospacing="0" w:line="276" w:lineRule="auto"/>
        <w:ind w:firstLine="567"/>
        <w:jc w:val="both"/>
        <w:rPr>
          <w:sz w:val="22"/>
          <w:szCs w:val="22"/>
        </w:rPr>
      </w:pPr>
    </w:p>
    <w:p w14:paraId="0AF59B45" w14:textId="77777777" w:rsidR="00E83B06" w:rsidRDefault="00E83B06" w:rsidP="008C7510">
      <w:pPr>
        <w:pStyle w:val="NormalWeb"/>
        <w:spacing w:before="0" w:beforeAutospacing="0" w:after="0" w:afterAutospacing="0" w:line="276" w:lineRule="auto"/>
        <w:ind w:firstLine="567"/>
        <w:jc w:val="both"/>
        <w:rPr>
          <w:sz w:val="22"/>
          <w:szCs w:val="22"/>
        </w:rPr>
      </w:pPr>
    </w:p>
    <w:p w14:paraId="71CED4D4" w14:textId="5F498449" w:rsidR="00E83B06" w:rsidRDefault="00E83B06" w:rsidP="008C7510">
      <w:pPr>
        <w:pStyle w:val="NormalWeb"/>
        <w:spacing w:before="0" w:beforeAutospacing="0" w:after="0" w:afterAutospacing="0" w:line="276" w:lineRule="auto"/>
        <w:ind w:firstLine="567"/>
        <w:jc w:val="both"/>
        <w:rPr>
          <w:sz w:val="22"/>
          <w:szCs w:val="22"/>
        </w:rPr>
      </w:pPr>
    </w:p>
    <w:p w14:paraId="2264DAD5" w14:textId="65F0CFEC" w:rsidR="00E83B06" w:rsidRDefault="00E83B06" w:rsidP="008C7510">
      <w:pPr>
        <w:pStyle w:val="NormalWeb"/>
        <w:spacing w:before="0" w:beforeAutospacing="0" w:after="0" w:afterAutospacing="0" w:line="276" w:lineRule="auto"/>
        <w:ind w:firstLine="567"/>
        <w:jc w:val="both"/>
        <w:rPr>
          <w:sz w:val="22"/>
          <w:szCs w:val="22"/>
        </w:rPr>
      </w:pPr>
    </w:p>
    <w:p w14:paraId="3AA11D90" w14:textId="51F7E073" w:rsidR="00E83B06" w:rsidRDefault="00E83B06" w:rsidP="008C7510">
      <w:pPr>
        <w:pStyle w:val="NormalWeb"/>
        <w:spacing w:before="0" w:beforeAutospacing="0" w:after="0" w:afterAutospacing="0" w:line="276" w:lineRule="auto"/>
        <w:ind w:firstLine="567"/>
        <w:jc w:val="both"/>
        <w:rPr>
          <w:sz w:val="22"/>
          <w:szCs w:val="22"/>
        </w:rPr>
      </w:pPr>
    </w:p>
    <w:p w14:paraId="2D6A6C07" w14:textId="66BF109F" w:rsidR="00E83B06" w:rsidRDefault="00E83B06" w:rsidP="008C7510">
      <w:pPr>
        <w:pStyle w:val="NormalWeb"/>
        <w:spacing w:before="0" w:beforeAutospacing="0" w:after="0" w:afterAutospacing="0" w:line="276" w:lineRule="auto"/>
        <w:ind w:firstLine="567"/>
        <w:jc w:val="both"/>
        <w:rPr>
          <w:sz w:val="22"/>
          <w:szCs w:val="22"/>
        </w:rPr>
      </w:pPr>
    </w:p>
    <w:p w14:paraId="4AED99EC" w14:textId="1836DDBC" w:rsidR="00E83B06" w:rsidRDefault="00E83B06" w:rsidP="008C7510">
      <w:pPr>
        <w:pStyle w:val="NormalWeb"/>
        <w:spacing w:before="0" w:beforeAutospacing="0" w:after="0" w:afterAutospacing="0" w:line="276" w:lineRule="auto"/>
        <w:ind w:firstLine="567"/>
        <w:jc w:val="both"/>
        <w:rPr>
          <w:sz w:val="22"/>
          <w:szCs w:val="22"/>
        </w:rPr>
      </w:pPr>
    </w:p>
    <w:p w14:paraId="0BE53776" w14:textId="738D6C40" w:rsidR="00E83B06" w:rsidRDefault="00E83B06" w:rsidP="008C7510">
      <w:pPr>
        <w:pStyle w:val="NormalWeb"/>
        <w:spacing w:before="0" w:beforeAutospacing="0" w:after="0" w:afterAutospacing="0" w:line="276" w:lineRule="auto"/>
        <w:ind w:firstLine="567"/>
        <w:jc w:val="both"/>
        <w:rPr>
          <w:sz w:val="22"/>
          <w:szCs w:val="22"/>
        </w:rPr>
      </w:pPr>
    </w:p>
    <w:p w14:paraId="137ED0E8" w14:textId="03211F4A" w:rsidR="00E83B06" w:rsidRDefault="00E83B06" w:rsidP="008C7510">
      <w:pPr>
        <w:pStyle w:val="NormalWeb"/>
        <w:spacing w:before="0" w:beforeAutospacing="0" w:after="0" w:afterAutospacing="0" w:line="276" w:lineRule="auto"/>
        <w:ind w:firstLine="567"/>
        <w:jc w:val="both"/>
        <w:rPr>
          <w:sz w:val="22"/>
          <w:szCs w:val="22"/>
        </w:rPr>
      </w:pPr>
    </w:p>
    <w:p w14:paraId="28BA068B" w14:textId="0399BFDE" w:rsidR="00E83B06" w:rsidRDefault="00E83B06" w:rsidP="008C7510">
      <w:pPr>
        <w:pStyle w:val="NormalWeb"/>
        <w:spacing w:before="0" w:beforeAutospacing="0" w:after="0" w:afterAutospacing="0" w:line="276" w:lineRule="auto"/>
        <w:ind w:firstLine="567"/>
        <w:jc w:val="both"/>
        <w:rPr>
          <w:sz w:val="22"/>
          <w:szCs w:val="22"/>
        </w:rPr>
      </w:pPr>
    </w:p>
    <w:p w14:paraId="3C626910" w14:textId="2665543E" w:rsidR="00E83B06" w:rsidRDefault="00E83B06" w:rsidP="008C7510">
      <w:pPr>
        <w:pStyle w:val="NormalWeb"/>
        <w:spacing w:before="0" w:beforeAutospacing="0" w:after="0" w:afterAutospacing="0" w:line="276" w:lineRule="auto"/>
        <w:ind w:firstLine="567"/>
        <w:jc w:val="both"/>
        <w:rPr>
          <w:sz w:val="22"/>
          <w:szCs w:val="22"/>
        </w:rPr>
      </w:pPr>
    </w:p>
    <w:p w14:paraId="185DA8AA" w14:textId="77777777" w:rsidR="00E83B06" w:rsidRDefault="00E83B06" w:rsidP="008C7510">
      <w:pPr>
        <w:pStyle w:val="NormalWeb"/>
        <w:spacing w:before="0" w:beforeAutospacing="0" w:after="0" w:afterAutospacing="0" w:line="276" w:lineRule="auto"/>
        <w:ind w:firstLine="567"/>
        <w:jc w:val="both"/>
        <w:rPr>
          <w:sz w:val="22"/>
          <w:szCs w:val="22"/>
        </w:rPr>
      </w:pPr>
    </w:p>
    <w:p w14:paraId="17FC6FC4" w14:textId="77777777" w:rsidR="00E83B06" w:rsidRDefault="00E83B06" w:rsidP="00E83B06">
      <w:pPr>
        <w:pStyle w:val="NormalWeb"/>
        <w:spacing w:before="0" w:beforeAutospacing="0" w:after="0" w:afterAutospacing="0" w:line="276" w:lineRule="auto"/>
        <w:jc w:val="center"/>
        <w:rPr>
          <w:b/>
          <w:bCs/>
          <w:sz w:val="18"/>
          <w:szCs w:val="18"/>
        </w:rPr>
      </w:pPr>
    </w:p>
    <w:p w14:paraId="57E9ED66" w14:textId="17439D76" w:rsidR="00E83B06" w:rsidRPr="00E83B06" w:rsidRDefault="00E83B06" w:rsidP="00E83B06">
      <w:pPr>
        <w:pStyle w:val="NormalWeb"/>
        <w:spacing w:before="0" w:beforeAutospacing="0" w:after="0" w:afterAutospacing="0" w:line="276" w:lineRule="auto"/>
        <w:jc w:val="center"/>
        <w:rPr>
          <w:b/>
          <w:bCs/>
          <w:sz w:val="18"/>
          <w:szCs w:val="18"/>
        </w:rPr>
      </w:pPr>
      <w:r w:rsidRPr="00E83B06">
        <w:rPr>
          <w:b/>
          <w:bCs/>
          <w:sz w:val="18"/>
          <w:szCs w:val="18"/>
        </w:rPr>
        <w:t>Gambar 1. Dokumentasi PKM</w:t>
      </w:r>
    </w:p>
    <w:p w14:paraId="6F24F143" w14:textId="6BB0D142" w:rsidR="001E7226" w:rsidRDefault="001E7226" w:rsidP="008C7510">
      <w:pPr>
        <w:pStyle w:val="NormalWeb"/>
        <w:spacing w:before="0" w:beforeAutospacing="0" w:after="0" w:afterAutospacing="0" w:line="276" w:lineRule="auto"/>
        <w:ind w:firstLine="567"/>
        <w:jc w:val="both"/>
        <w:rPr>
          <w:sz w:val="22"/>
          <w:szCs w:val="22"/>
        </w:rPr>
      </w:pPr>
      <w:r>
        <w:rPr>
          <w:sz w:val="22"/>
          <w:szCs w:val="22"/>
        </w:rPr>
        <w:t>Adapun dokumentasi pelaksanaan pengabdian ini, dapat disajikan sebagai berikut:</w:t>
      </w:r>
    </w:p>
    <w:p w14:paraId="311609BF" w14:textId="77777777" w:rsidR="00914630" w:rsidRPr="00B736A6" w:rsidRDefault="00914630" w:rsidP="00914630">
      <w:pPr>
        <w:spacing w:after="0"/>
        <w:jc w:val="center"/>
        <w:rPr>
          <w:rFonts w:ascii="Times New Roman" w:hAnsi="Times New Roman" w:cs="Times New Roman"/>
          <w:b/>
          <w:bCs/>
          <w:sz w:val="18"/>
          <w:szCs w:val="18"/>
          <w:lang w:val="en-US"/>
        </w:rPr>
      </w:pPr>
    </w:p>
    <w:tbl>
      <w:tblPr>
        <w:tblW w:w="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9"/>
      </w:tblGrid>
      <w:tr w:rsidR="00914630" w14:paraId="4C918451" w14:textId="77777777" w:rsidTr="002A0151">
        <w:trPr>
          <w:jc w:val="center"/>
        </w:trPr>
        <w:tc>
          <w:tcPr>
            <w:tcW w:w="4459" w:type="dxa"/>
            <w:tcBorders>
              <w:top w:val="nil"/>
              <w:left w:val="nil"/>
              <w:bottom w:val="nil"/>
              <w:right w:val="nil"/>
            </w:tcBorders>
            <w:shd w:val="clear" w:color="auto" w:fill="D9D9D9"/>
          </w:tcPr>
          <w:p w14:paraId="7709C32D" w14:textId="77777777" w:rsidR="00914630" w:rsidRDefault="00914630" w:rsidP="001A72C3">
            <w:pPr>
              <w:spacing w:after="1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PEMBAHASAN</w:t>
            </w:r>
          </w:p>
        </w:tc>
      </w:tr>
    </w:tbl>
    <w:p w14:paraId="4FA1C516" w14:textId="040F7A9F" w:rsidR="008C7510" w:rsidRPr="0087693A" w:rsidRDefault="008C7510" w:rsidP="008C7510">
      <w:pPr>
        <w:spacing w:after="0"/>
        <w:ind w:firstLine="567"/>
        <w:jc w:val="both"/>
        <w:rPr>
          <w:rFonts w:ascii="Times New Roman" w:eastAsia="Times New Roman" w:hAnsi="Times New Roman" w:cs="Times New Roman"/>
        </w:rPr>
      </w:pPr>
      <w:r w:rsidRPr="0087693A">
        <w:rPr>
          <w:rFonts w:ascii="Times New Roman" w:eastAsia="Times New Roman" w:hAnsi="Times New Roman" w:cs="Times New Roman"/>
        </w:rPr>
        <w:t>Pelaksanaan kegiatan pemeriksaan kesehatan dasar sebagai skrining masalah kesehatan mahasiswa baru menunjukkan bahwa program pengabdian mampu mencapai tujuan utama yang telah direncanakan, yaitu meningkatkan kesadaran mahasiswa terhadap pentingnya deteksi dini masalah kesehatan dan perilaku hidup sehat. Ketercapaian tersebut terlihat dari tingginya partisipasi mahasiswa selama kegiatan berlangsung serta adanya peningkatan nilai pengetahuan setelah pelaksanaan edukasi kesehatan. Kondisi ini menunjukkan bahwa mahasiswa pada dasarnya memiliki kebutuhan informasi kesehatan yang tinggi, terutama pada masa awal adaptasi kehidupan perkuliahan. Pemeriksaan kesehatan yang dilakukan juga memberikan gambaran nyata mengenai kondisi kesehatan mahasiswa sehingga peserta lebih mudah memahami pentingnya menjaga kesehatan secara mandiri</w:t>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sidR="00D05796">
        <w:rPr>
          <w:rFonts w:ascii="Times New Roman" w:eastAsia="Times New Roman" w:hAnsi="Times New Roman" w:cs="Times New Roman"/>
        </w:rPr>
        <w:instrText>ADDIN CSL_CITATION {"citationItems":[{"id":"ITEM-1","itemData":{"author":[{"dropping-particle":"","family":"Mardhiyah","given":"Sayang Ajeng","non-dropping-particle":"","parse-names":false,"suffix":""},{"dropping-particle":"","family":"Iswani","given":"Rosada Dwi","non-dropping-particle":"","parse-names":false,"suffix":""},{"dropping-particle":"","family":"Juniarly","given":"Amalia","non-dropping-particle":"","parse-names":false,"suffix":""}],"container-title":"Jurnal Pengabdian Sriwijaya","id":"ITEM-1","issue":"4","issued":{"date-parts":[["2019"]]},"page":"906-914","title":"Inisiasi mental health awareness melalui screening dan promosi kesehatan mental pada mahasiswa Universitas Sriwijaya","type":"article-journal","volume":"7"},"uris":["http://www.mendeley.com/documents/?uuid=03e6ed4b-7250-4241-813f-06b3ffcd4bb8"]}],"mendeley":{"formattedCitation":"[10]","plainTextFormattedCitation":"[10]","previouslyFormattedCitation":"[10]"},"properties":{"noteIndex":0},"schema":"https://github.com/citation-style-language/schema/raw/master/csl-citation.json"}</w:instrText>
      </w:r>
      <w:r>
        <w:rPr>
          <w:rFonts w:ascii="Times New Roman" w:eastAsia="Times New Roman" w:hAnsi="Times New Roman" w:cs="Times New Roman"/>
        </w:rPr>
        <w:fldChar w:fldCharType="separate"/>
      </w:r>
      <w:r w:rsidR="00D05796" w:rsidRPr="00D05796">
        <w:rPr>
          <w:rFonts w:ascii="Times New Roman" w:eastAsia="Times New Roman" w:hAnsi="Times New Roman" w:cs="Times New Roman"/>
          <w:noProof/>
        </w:rPr>
        <w:t>[10]</w:t>
      </w:r>
      <w:r>
        <w:rPr>
          <w:rFonts w:ascii="Times New Roman" w:eastAsia="Times New Roman" w:hAnsi="Times New Roman" w:cs="Times New Roman"/>
        </w:rPr>
        <w:fldChar w:fldCharType="end"/>
      </w:r>
      <w:r w:rsidRPr="0087693A">
        <w:rPr>
          <w:rFonts w:ascii="Times New Roman" w:eastAsia="Times New Roman" w:hAnsi="Times New Roman" w:cs="Times New Roman"/>
        </w:rPr>
        <w:t>.</w:t>
      </w:r>
    </w:p>
    <w:p w14:paraId="0C12B9AF" w14:textId="1C34E0C0" w:rsidR="008C7510" w:rsidRPr="0087693A" w:rsidRDefault="008C7510" w:rsidP="008C7510">
      <w:pPr>
        <w:spacing w:after="0"/>
        <w:ind w:firstLine="567"/>
        <w:jc w:val="both"/>
        <w:rPr>
          <w:rFonts w:ascii="Times New Roman" w:eastAsia="Times New Roman" w:hAnsi="Times New Roman" w:cs="Times New Roman"/>
        </w:rPr>
      </w:pPr>
      <w:r w:rsidRPr="0087693A">
        <w:rPr>
          <w:rFonts w:ascii="Times New Roman" w:eastAsia="Times New Roman" w:hAnsi="Times New Roman" w:cs="Times New Roman"/>
        </w:rPr>
        <w:t>Hasil kegiatan yang menunjukkan ditemukannya beberapa mahasiswa dengan faktor risiko seperti overweight, obesitas, tekanan darah tinggi, dan peningkatan kadar gula darah menggambarkan bahwa kelompok usia muda tidak sepenuhnya terbebas dari ancaman penyakit tidak menular. Kondisi tersebut sejalan dengan teori promotif dan preventif yang menjelaskan bahwa perubahan gaya hidup pada usia produktif dapat mempengaruhi status kesehatan seseorang. Kebiasaan konsumsi makanan cepat saji, kurang aktivitas fisik, pola tidur yang tidak teratur, serta stres akademik menjadi faktor yang secara tidak langsung berkontribusi terhadap munculnya gangguan kesehatan pada mahasiswa. Melalui pemeriksaan kesehatan dasar, faktor risiko tersebut dapat dikenali lebih awal sehingga mahasiswa memiliki kesempatan melakukan perbaikan perilaku sebelum berkembang menjadi masalah kesehatan yang lebih berat</w:t>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sidR="00D05796">
        <w:rPr>
          <w:rFonts w:ascii="Times New Roman" w:eastAsia="Times New Roman" w:hAnsi="Times New Roman" w:cs="Times New Roman"/>
        </w:rPr>
        <w:instrText>ADDIN CSL_CITATION {"citationItems":[{"id":"ITEM-1","itemData":{"ISSN":"2622-7495","author":[{"dropping-particle":"","family":"Anggreswari","given":"Ichi Salsabila","non-dropping-particle":"","parse-names":false,"suffix":""},{"dropping-particle":"","family":"Amir","given":"Eka Fitri","non-dropping-particle":"","parse-names":false,"suffix":""},{"dropping-particle":"","family":"Husnah","given":"Ridni","non-dropping-particle":"","parse-names":false,"suffix":""},{"dropping-particle":"","family":"Utama","given":"I Wayan Eka Budi","non-dropping-particle":"","parse-names":false,"suffix":""}],"container-title":"Bunda Edu-Midwifery Journal (BEMJ)","id":"ITEM-1","issue":"1","issued":{"date-parts":[["2025"]]},"page":"1-9","title":"Screening Gangguan Kesehatan Mental Remaja Menggunakan Web SICHI Pada Remaja Di Kota Batam","type":"article-journal","volume":"8"},"uris":["http://www.mendeley.com/documents/?uuid=83c56598-668f-471f-9192-33b35c689f1c"]}],"mendeley":{"formattedCitation":"[11]","plainTextFormattedCitation":"[11]","previouslyFormattedCitation":"[11]"},"properties":{"noteIndex":0},"schema":"https://github.com/citation-style-language/schema/raw/master/csl-citation.json"}</w:instrText>
      </w:r>
      <w:r>
        <w:rPr>
          <w:rFonts w:ascii="Times New Roman" w:eastAsia="Times New Roman" w:hAnsi="Times New Roman" w:cs="Times New Roman"/>
        </w:rPr>
        <w:fldChar w:fldCharType="separate"/>
      </w:r>
      <w:r w:rsidR="00D05796" w:rsidRPr="00D05796">
        <w:rPr>
          <w:rFonts w:ascii="Times New Roman" w:eastAsia="Times New Roman" w:hAnsi="Times New Roman" w:cs="Times New Roman"/>
          <w:noProof/>
        </w:rPr>
        <w:t>[11]</w:t>
      </w:r>
      <w:r>
        <w:rPr>
          <w:rFonts w:ascii="Times New Roman" w:eastAsia="Times New Roman" w:hAnsi="Times New Roman" w:cs="Times New Roman"/>
        </w:rPr>
        <w:fldChar w:fldCharType="end"/>
      </w:r>
      <w:r w:rsidRPr="0087693A">
        <w:rPr>
          <w:rFonts w:ascii="Times New Roman" w:eastAsia="Times New Roman" w:hAnsi="Times New Roman" w:cs="Times New Roman"/>
        </w:rPr>
        <w:t>.</w:t>
      </w:r>
    </w:p>
    <w:p w14:paraId="456A1623" w14:textId="068F45A8" w:rsidR="008C7510" w:rsidRPr="0087693A" w:rsidRDefault="008C7510" w:rsidP="008C7510">
      <w:pPr>
        <w:spacing w:after="0"/>
        <w:ind w:firstLine="567"/>
        <w:jc w:val="both"/>
        <w:rPr>
          <w:rFonts w:ascii="Times New Roman" w:eastAsia="Times New Roman" w:hAnsi="Times New Roman" w:cs="Times New Roman"/>
        </w:rPr>
      </w:pPr>
      <w:r w:rsidRPr="0087693A">
        <w:rPr>
          <w:rFonts w:ascii="Times New Roman" w:eastAsia="Times New Roman" w:hAnsi="Times New Roman" w:cs="Times New Roman"/>
        </w:rPr>
        <w:t>Peningkatan nilai pengetahuan mahasiswa setelah edukasi menunjukkan bahwa pendekatan edukatif yang dipadukan dengan hasil pemeriksaan kesehatan mampu memberikan pengaruh yang lebih efektif terhadap pemahaman peserta. Mahasiswa cenderung lebih mudah menerima informasi kesehatan ketika mereka mengetahui kondisi kesehatannya sendiri secara langsung. Situasi ini memperlihatkan bahwa pengalaman nyata melalui pemeriksaan kesehatan dapat memperkuat proses pembelajaran kesehatan dibandingkan penyampaian teori semata. Edukasi yang dilakukan secara interaktif melalui diskusi dan tanya jawab juga membantu mahasiswa memahami hubungan antara perilaku sehari-hari dengan risiko kesehatan yang dapat muncul pada usia muda</w:t>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sidR="00D05796">
        <w:rPr>
          <w:rFonts w:ascii="Times New Roman" w:eastAsia="Times New Roman" w:hAnsi="Times New Roman" w:cs="Times New Roman"/>
        </w:rPr>
        <w:instrText>ADDIN CSL_CITATION {"citationItems":[{"id":"ITEM-1","itemData":{"ISSN":"2655-4712","author":[{"dropping-particle":"","family":"Hakim","given":"Lukman","non-dropping-particle":"Al","parse-names":false,"suffix":""},{"dropping-particle":"","family":"Puspitosori","given":"Warih Andan","non-dropping-particle":"","parse-names":false,"suffix":""}],"container-title":"Malahayati Nursing Journal","id":"ITEM-1","issue":"12","issued":{"date-parts":[["2025"]]},"page":"5217-5226","title":"Efektivitas Pelatihan Konselor Sebaya Terhadap Keterampilan Skrining Masalah Kesehatan Mental Pada Mahasiswa University Residence (Unires)","type":"article-journal","volume":"7"},"uris":["http://www.mendeley.com/documents/?uuid=334172de-ffa0-4060-a217-397aa35c2b4a"]}],"mendeley":{"formattedCitation":"[12]","plainTextFormattedCitation":"[12]","previouslyFormattedCitation":"[12]"},"properties":{"noteIndex":0},"schema":"https://github.com/citation-style-language/schema/raw/master/csl-citation.json"}</w:instrText>
      </w:r>
      <w:r>
        <w:rPr>
          <w:rFonts w:ascii="Times New Roman" w:eastAsia="Times New Roman" w:hAnsi="Times New Roman" w:cs="Times New Roman"/>
        </w:rPr>
        <w:fldChar w:fldCharType="separate"/>
      </w:r>
      <w:r w:rsidR="00D05796" w:rsidRPr="00D05796">
        <w:rPr>
          <w:rFonts w:ascii="Times New Roman" w:eastAsia="Times New Roman" w:hAnsi="Times New Roman" w:cs="Times New Roman"/>
          <w:noProof/>
        </w:rPr>
        <w:t>[12]</w:t>
      </w:r>
      <w:r>
        <w:rPr>
          <w:rFonts w:ascii="Times New Roman" w:eastAsia="Times New Roman" w:hAnsi="Times New Roman" w:cs="Times New Roman"/>
        </w:rPr>
        <w:fldChar w:fldCharType="end"/>
      </w:r>
      <w:r w:rsidRPr="0087693A">
        <w:rPr>
          <w:rFonts w:ascii="Times New Roman" w:eastAsia="Times New Roman" w:hAnsi="Times New Roman" w:cs="Times New Roman"/>
        </w:rPr>
        <w:t>.</w:t>
      </w:r>
    </w:p>
    <w:p w14:paraId="11E012F6" w14:textId="0561B7FE" w:rsidR="008C7510" w:rsidRPr="0087693A" w:rsidRDefault="008C7510" w:rsidP="008C7510">
      <w:pPr>
        <w:spacing w:after="0"/>
        <w:ind w:firstLine="567"/>
        <w:jc w:val="both"/>
        <w:rPr>
          <w:rFonts w:ascii="Times New Roman" w:eastAsia="Times New Roman" w:hAnsi="Times New Roman" w:cs="Times New Roman"/>
        </w:rPr>
      </w:pPr>
      <w:r w:rsidRPr="0087693A">
        <w:rPr>
          <w:rFonts w:ascii="Times New Roman" w:eastAsia="Times New Roman" w:hAnsi="Times New Roman" w:cs="Times New Roman"/>
        </w:rPr>
        <w:t>Keberhasilan kegiatan tidak terlepas dari beberapa faktor pendukung yang berperan penting selama proses pelaksanaan program. Dukungan institusi kampus, ketersediaan sarana pemeriksaan kesehatan, keterlibatan tenaga kesehatan, serta partisipasi aktif mahasiswa menjadi faktor yang membantu kelancaran kegiatan. Selain itu, pelaksanaan kegiatan di lingkungan kampus memudahkan mahasiswa mengakses layanan pemeriksaan kesehatan tanpa harus mendatangi fasilitas pelayanan kesehatan di luar kampus. Keterlibatan dosen dan mahasiswa pendamping juga menciptakan suasana edukatif yang lebih nyaman sehingga peserta lebih terbuka dalam menyampaikan keluhan maupun berdiskusi mengenai kondisi kesehatannya</w:t>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sidR="00D05796">
        <w:rPr>
          <w:rFonts w:ascii="Times New Roman" w:eastAsia="Times New Roman" w:hAnsi="Times New Roman" w:cs="Times New Roman"/>
        </w:rPr>
        <w:instrText>ADDIN CSL_CITATION {"citationItems":[{"id":"ITEM-1","itemData":{"ISSN":"2963-3753","author":[{"dropping-particle":"","family":"Wahyuni","given":"Sri","non-dropping-particle":"","parse-names":false,"suffix":""},{"dropping-particle":"","family":"Suharno","given":"Suharno","non-dropping-particle":"","parse-names":false,"suffix":""},{"dropping-particle":"","family":"Wianti","given":"Arni","non-dropping-particle":"","parse-names":false,"suffix":""},{"dropping-particle":"","family":"Hijriani","given":"Hera","non-dropping-particle":"","parse-names":false,"suffix":""},{"dropping-particle":"","family":"Heni","given":"Heni","non-dropping-particle":"","parse-names":false,"suffix":""},{"dropping-particle":"","family":"Setyowati","given":"Rahayu","non-dropping-particle":"","parse-names":false,"suffix":""},{"dropping-particle":"","family":"Hadinata","given":"Dian","non-dropping-particle":"","parse-names":false,"suffix":""}],"container-title":"Jurnal Pengabdian Masyarakat Bhinneka","id":"ITEM-1","issue":"1","issued":{"date-parts":[["2025"]]},"page":"37-43","title":"Skrining Kesehatan Mental Usia Dewasa Awal Pada Mahasiswa Universitas YPIB Majalengka Sebagai Tindakan Pencegahan Gangguan Mental","type":"article-journal","volume":"4"},"uris":["http://www.mendeley.com/documents/?uuid=6fe66225-c38d-451e-b13a-058ce7ac7e23"]}],"mendeley":{"formattedCitation":"[13]","plainTextFormattedCitation":"[13]","previouslyFormattedCitation":"[13]"},"properties":{"noteIndex":0},"schema":"https://github.com/citation-style-language/schema/raw/master/csl-citation.json"}</w:instrText>
      </w:r>
      <w:r>
        <w:rPr>
          <w:rFonts w:ascii="Times New Roman" w:eastAsia="Times New Roman" w:hAnsi="Times New Roman" w:cs="Times New Roman"/>
        </w:rPr>
        <w:fldChar w:fldCharType="separate"/>
      </w:r>
      <w:r w:rsidR="00D05796" w:rsidRPr="00D05796">
        <w:rPr>
          <w:rFonts w:ascii="Times New Roman" w:eastAsia="Times New Roman" w:hAnsi="Times New Roman" w:cs="Times New Roman"/>
          <w:noProof/>
        </w:rPr>
        <w:t>[13]</w:t>
      </w:r>
      <w:r>
        <w:rPr>
          <w:rFonts w:ascii="Times New Roman" w:eastAsia="Times New Roman" w:hAnsi="Times New Roman" w:cs="Times New Roman"/>
        </w:rPr>
        <w:fldChar w:fldCharType="end"/>
      </w:r>
      <w:r w:rsidRPr="0087693A">
        <w:rPr>
          <w:rFonts w:ascii="Times New Roman" w:eastAsia="Times New Roman" w:hAnsi="Times New Roman" w:cs="Times New Roman"/>
        </w:rPr>
        <w:t>.</w:t>
      </w:r>
    </w:p>
    <w:p w14:paraId="5C441D77" w14:textId="08BE9BF7" w:rsidR="008C7510" w:rsidRPr="0087693A" w:rsidRDefault="008C7510" w:rsidP="008C7510">
      <w:pPr>
        <w:spacing w:after="0"/>
        <w:ind w:firstLine="567"/>
        <w:jc w:val="both"/>
        <w:rPr>
          <w:rFonts w:ascii="Times New Roman" w:eastAsia="Times New Roman" w:hAnsi="Times New Roman" w:cs="Times New Roman"/>
        </w:rPr>
      </w:pPr>
      <w:r w:rsidRPr="0087693A">
        <w:rPr>
          <w:rFonts w:ascii="Times New Roman" w:eastAsia="Times New Roman" w:hAnsi="Times New Roman" w:cs="Times New Roman"/>
        </w:rPr>
        <w:t>Meskipun kegiatan berjalan dengan baik, beberapa hambatan masih ditemukan selama pelaksanaan pengabdian. Sebagian mahasiswa masih merasa cemas ketika menjalani pemeriksaan kesehatan, terutama pemeriksaan tekanan darah dan gula darah. Selain itu, keterbatasan waktu pelaksanaan menyebabkan proses edukasi belum dapat dilakukan secara mendalam kepada seluruh peserta. Perbedaan tingkat pemahaman mahasiswa mengenai istilah kesehatan juga menjadi tantangan tersendiri dalam proses penyampaian materi edukasi. Di sisi lain, kebiasaan hidup tidak sehat yang sudah terbentuk sebelumnya memerlukan waktu yang lebih panjang untuk dapat diubah secara konsisten melalui satu kali kegiatan edukasi</w:t>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sidR="00D05796">
        <w:rPr>
          <w:rFonts w:ascii="Times New Roman" w:eastAsia="Times New Roman" w:hAnsi="Times New Roman" w:cs="Times New Roman"/>
        </w:rPr>
        <w:instrText>ADDIN CSL_CITATION {"citationItems":[{"id":"ITEM-1","itemData":{"ISSN":"2962-8911","author":[{"dropping-particle":"","family":"Rosyad","given":"Yafi Sabila","non-dropping-particle":"","parse-names":false,"suffix":""},{"dropping-particle":"","family":"Khoeriyah","given":"Salis Miftahul","non-dropping-particle":"","parse-names":false,"suffix":""},{"dropping-particle":"","family":"Subantara","given":"Dandi Oka","non-dropping-particle":"","parse-names":false,"suffix":""}],"container-title":"Bhakti Sabha Nusantara","id":"ITEM-1","issue":"1","issued":{"date-parts":[["2025"]]},"page":"62-71","title":"Assessment of Happiness Levels Through Health Screening Among Second-Semester Students of the Nursing Science Program: Skrining Kesehatan Tingkat Kebahagiaan pada Mahasiswa Semester II Program Studi Ilmu Keperawatan","type":"article-journal","volume":"4"},"uris":["http://www.mendeley.com/documents/?uuid=d4f48829-7b38-40a7-8bdb-0d31ac9f19c4"]}],"mendeley":{"formattedCitation":"[14]","plainTextFormattedCitation":"[14]","previouslyFormattedCitation":"[14]"},"properties":{"noteIndex":0},"schema":"https://github.com/citation-style-language/schema/raw/master/csl-citation.json"}</w:instrText>
      </w:r>
      <w:r>
        <w:rPr>
          <w:rFonts w:ascii="Times New Roman" w:eastAsia="Times New Roman" w:hAnsi="Times New Roman" w:cs="Times New Roman"/>
        </w:rPr>
        <w:fldChar w:fldCharType="separate"/>
      </w:r>
      <w:r w:rsidR="00D05796" w:rsidRPr="00D05796">
        <w:rPr>
          <w:rFonts w:ascii="Times New Roman" w:eastAsia="Times New Roman" w:hAnsi="Times New Roman" w:cs="Times New Roman"/>
          <w:noProof/>
        </w:rPr>
        <w:t>[14]</w:t>
      </w:r>
      <w:r>
        <w:rPr>
          <w:rFonts w:ascii="Times New Roman" w:eastAsia="Times New Roman" w:hAnsi="Times New Roman" w:cs="Times New Roman"/>
        </w:rPr>
        <w:fldChar w:fldCharType="end"/>
      </w:r>
      <w:r w:rsidRPr="0087693A">
        <w:rPr>
          <w:rFonts w:ascii="Times New Roman" w:eastAsia="Times New Roman" w:hAnsi="Times New Roman" w:cs="Times New Roman"/>
        </w:rPr>
        <w:t>.</w:t>
      </w:r>
    </w:p>
    <w:p w14:paraId="3C2B3D9D" w14:textId="329098E9" w:rsidR="008C7510" w:rsidRPr="0087693A" w:rsidRDefault="008C7510" w:rsidP="008C7510">
      <w:pPr>
        <w:spacing w:after="0"/>
        <w:ind w:firstLine="567"/>
        <w:jc w:val="both"/>
        <w:rPr>
          <w:rFonts w:ascii="Times New Roman" w:eastAsia="Times New Roman" w:hAnsi="Times New Roman" w:cs="Times New Roman"/>
        </w:rPr>
      </w:pPr>
      <w:r w:rsidRPr="0087693A">
        <w:rPr>
          <w:rFonts w:ascii="Times New Roman" w:eastAsia="Times New Roman" w:hAnsi="Times New Roman" w:cs="Times New Roman"/>
        </w:rPr>
        <w:t>Untuk mengatasi hambatan tersebut, pendekatan komunikasi yang lebih sederhana dan persuasif diterapkan selama kegiatan berlangsung. Tim pelaksana memberikan penjelasan secara bertahap menggunakan bahasa yang mudah dipahami mahasiswa serta memberikan kesempatan bertanya secara langsung mengenai hasil pemeriksaan kesehatan yang diperoleh. Edukasi juga dikemas secara interaktif agar peserta tidak merasa bosan dan lebih mudah memahami materi yang disampaikan. Selain itu, mahasiswa yang memiliki hasil pemeriksaan di luar batas normal diarahkan untuk melakukan pemeriksaan lanjutan dan mendapatkan pemantauan dari unit pelayanan kesehatan kampus sehingga tindak lanjut kesehatan dapat dilakukan secara berkelanjutan</w:t>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sidR="00D05796">
        <w:rPr>
          <w:rFonts w:ascii="Times New Roman" w:eastAsia="Times New Roman" w:hAnsi="Times New Roman" w:cs="Times New Roman"/>
        </w:rPr>
        <w:instrText>ADDIN CSL_CITATION {"citationItems":[{"id":"ITEM-1","itemData":{"ISSN":"2654-4385","author":[{"dropping-particle":"","family":"Ariani","given":"Desti Dwi","non-dropping-particle":"","parse-names":false,"suffix":""},{"dropping-particle":"","family":"Nugroho","given":"Prasetyo Aji","non-dropping-particle":"","parse-names":false,"suffix":""},{"dropping-particle":"","family":"Ghifari","given":"Aufa","non-dropping-particle":"","parse-names":false,"suffix":""},{"dropping-particle":"","family":"Amelia","given":"Fitri Chalista","non-dropping-particle":"","parse-names":false,"suffix":""},{"dropping-particle":"","family":"Assari","given":"Faisal","non-dropping-particle":"","parse-names":false,"suffix":""},{"dropping-particle":"","family":"Amalia","given":"Ridha","non-dropping-particle":"","parse-names":false,"suffix":""},{"dropping-particle":"","family":"Ulandari","given":"Anggi","non-dropping-particle":"","parse-names":false,"suffix":""}],"container-title":"PengabdianMu: Jurnal Ilmiah Pengabdian kepada Masyarakat","id":"ITEM-1","issue":"8","issued":{"date-parts":[["2024"]]},"page":"1515-1522","title":"Implementasi Manajemen Konseling Kesehatan Mental bagi Mahasiswa Institut Teknologi dan Kesehatan Muhammadiyah Kalimantan Barat: The Implementation of Mental Health Counseling Management for Undergraduate Students at Institut Teknologi and Kesehatan Muhammadiyah Kalimantan Barat","type":"article-journal","volume":"9"},"uris":["http://www.mendeley.com/documents/?uuid=5d2c0750-839d-428b-b8ef-975d28f268e5"]}],"mendeley":{"formattedCitation":"[15]","plainTextFormattedCitation":"[15]","previouslyFormattedCitation":"[15]"},"properties":{"noteIndex":0},"schema":"https://github.com/citation-style-language/schema/raw/master/csl-citation.json"}</w:instrText>
      </w:r>
      <w:r>
        <w:rPr>
          <w:rFonts w:ascii="Times New Roman" w:eastAsia="Times New Roman" w:hAnsi="Times New Roman" w:cs="Times New Roman"/>
        </w:rPr>
        <w:fldChar w:fldCharType="separate"/>
      </w:r>
      <w:r w:rsidR="00D05796" w:rsidRPr="00D05796">
        <w:rPr>
          <w:rFonts w:ascii="Times New Roman" w:eastAsia="Times New Roman" w:hAnsi="Times New Roman" w:cs="Times New Roman"/>
          <w:noProof/>
        </w:rPr>
        <w:t>[15]</w:t>
      </w:r>
      <w:r>
        <w:rPr>
          <w:rFonts w:ascii="Times New Roman" w:eastAsia="Times New Roman" w:hAnsi="Times New Roman" w:cs="Times New Roman"/>
        </w:rPr>
        <w:fldChar w:fldCharType="end"/>
      </w:r>
      <w:r w:rsidRPr="0087693A">
        <w:rPr>
          <w:rFonts w:ascii="Times New Roman" w:eastAsia="Times New Roman" w:hAnsi="Times New Roman" w:cs="Times New Roman"/>
        </w:rPr>
        <w:t>.</w:t>
      </w:r>
    </w:p>
    <w:p w14:paraId="61E792A4" w14:textId="77777777" w:rsidR="008C7510" w:rsidRPr="0087693A" w:rsidRDefault="008C7510" w:rsidP="008C7510">
      <w:pPr>
        <w:spacing w:after="0"/>
        <w:ind w:firstLine="567"/>
        <w:jc w:val="both"/>
        <w:rPr>
          <w:rFonts w:ascii="Times New Roman" w:eastAsia="Times New Roman" w:hAnsi="Times New Roman" w:cs="Times New Roman"/>
        </w:rPr>
      </w:pPr>
      <w:r>
        <w:rPr>
          <w:rFonts w:ascii="Times New Roman" w:eastAsia="Times New Roman" w:hAnsi="Times New Roman" w:cs="Times New Roman"/>
        </w:rPr>
        <w:t>K</w:t>
      </w:r>
      <w:r w:rsidRPr="0087693A">
        <w:rPr>
          <w:rFonts w:ascii="Times New Roman" w:eastAsia="Times New Roman" w:hAnsi="Times New Roman" w:cs="Times New Roman"/>
        </w:rPr>
        <w:t>egiatan pengabdian memberikan dampak positif terhadap peningkatan kesadaran mahasiswa mengenai pentingnya menjaga kesehatan sejak dini. Mahasiswa tidak hanya memperoleh informasi kesehatan, tetapi juga mulai memahami kondisi kesehatannya sendiri dan faktor-faktor yang dapat mempengaruhi kesehatan di masa mendatang. Program ini juga berkontribusi dalam membangun budaya hidup sehat di lingkungan kampus melalui pendekatan promotif dan preventif. Dengan adanya kegiatan skrining kesehatan dasar secara rutin, lingkungan pendidikan kesehatan diharapkan mampu menciptakan mahasiswa yang lebih sehat, produktif, dan memiliki kesadaran tinggi terhadap pentingnya perilaku hidup sehat baik bagi dirinya sendiri maupun masyarakat di masa depan.</w:t>
      </w:r>
    </w:p>
    <w:p w14:paraId="52AD6B6A" w14:textId="77777777" w:rsidR="00914630" w:rsidRDefault="00914630" w:rsidP="00914630">
      <w:pPr>
        <w:spacing w:after="0"/>
        <w:jc w:val="both"/>
        <w:rPr>
          <w:rFonts w:ascii="Times New Roman" w:eastAsia="Times New Roman" w:hAnsi="Times New Roman" w:cs="Times New Roman"/>
        </w:rPr>
      </w:pPr>
    </w:p>
    <w:tbl>
      <w:tblPr>
        <w:tblW w:w="46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tblGrid>
      <w:tr w:rsidR="00914630" w14:paraId="7E6404F8" w14:textId="77777777" w:rsidTr="001A72C3">
        <w:trPr>
          <w:trHeight w:val="379"/>
        </w:trPr>
        <w:tc>
          <w:tcPr>
            <w:tcW w:w="4675" w:type="dxa"/>
            <w:tcBorders>
              <w:top w:val="nil"/>
              <w:left w:val="nil"/>
              <w:bottom w:val="nil"/>
              <w:right w:val="nil"/>
            </w:tcBorders>
            <w:shd w:val="clear" w:color="auto" w:fill="D9D9D9"/>
          </w:tcPr>
          <w:p w14:paraId="61FE9341" w14:textId="77777777" w:rsidR="00914630" w:rsidRDefault="00914630" w:rsidP="001A72C3">
            <w:pPr>
              <w:spacing w:after="1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SIMPULAN</w:t>
            </w:r>
          </w:p>
        </w:tc>
      </w:tr>
    </w:tbl>
    <w:p w14:paraId="78FB9D69" w14:textId="77777777" w:rsidR="008C7510" w:rsidRPr="0087693A" w:rsidRDefault="008C7510" w:rsidP="008C7510">
      <w:pPr>
        <w:spacing w:after="0"/>
        <w:ind w:firstLine="567"/>
        <w:jc w:val="both"/>
        <w:rPr>
          <w:rFonts w:ascii="Times New Roman" w:eastAsia="Times New Roman" w:hAnsi="Times New Roman" w:cs="Times New Roman"/>
        </w:rPr>
      </w:pPr>
      <w:r w:rsidRPr="0087693A">
        <w:rPr>
          <w:rFonts w:ascii="Times New Roman" w:eastAsia="Times New Roman" w:hAnsi="Times New Roman" w:cs="Times New Roman"/>
        </w:rPr>
        <w:t>Kegiatan pemeriksaan kesehatan dasar sebagai skrining masalah kesehatan mahasiswa baru di Poltekkes Kemenkes Kupang berjalan dengan baik dan mampu meningkatkan pengetahuan serta kesadaran mahasiswa mengenai pentingnya perilaku hidup sehat dan deteksi dini masalah kesehatan. Pemeriksaan kesehatan berhasil memberikan gambaran awal mengenai kondisi kesehatan mahasiswa serta menemukan beberapa faktor risiko kesehatan yang memerlukan perhatian lebih lanjut. Edukasi kesehatan yang diberikan juga menunjukkan adanya peningkatan pemahaman mahasiswa mengenai pola hidup sehat.</w:t>
      </w:r>
    </w:p>
    <w:p w14:paraId="67D2B409" w14:textId="77777777" w:rsidR="008C7510" w:rsidRPr="0087693A" w:rsidRDefault="008C7510" w:rsidP="008C7510">
      <w:pPr>
        <w:spacing w:after="0"/>
        <w:ind w:firstLine="567"/>
        <w:jc w:val="both"/>
        <w:rPr>
          <w:rFonts w:ascii="Times New Roman" w:eastAsia="Times New Roman" w:hAnsi="Times New Roman" w:cs="Times New Roman"/>
        </w:rPr>
      </w:pPr>
      <w:r w:rsidRPr="0087693A">
        <w:rPr>
          <w:rFonts w:ascii="Times New Roman" w:eastAsia="Times New Roman" w:hAnsi="Times New Roman" w:cs="Times New Roman"/>
        </w:rPr>
        <w:t>Kegiatan serupa diharapkan dapat dilaksanakan secara rutin dan berkelanjutan sebagai bagian dari program promotif dan preventif di lingkungan kampus. Selain itu, diperlukan penguatan edukasi kesehatan dan pemantauan lanjutan bagi mahasiswa yang memiliki faktor risiko kesehatan agar perubahan perilaku sehat dapat dipertahankan secara konsisten.</w:t>
      </w:r>
    </w:p>
    <w:p w14:paraId="3F08E74C" w14:textId="77777777" w:rsidR="001A72C3" w:rsidRDefault="001A72C3" w:rsidP="00914630">
      <w:pPr>
        <w:spacing w:after="0" w:line="240" w:lineRule="auto"/>
        <w:ind w:firstLine="709"/>
        <w:jc w:val="both"/>
        <w:rPr>
          <w:rFonts w:ascii="Times New Roman" w:eastAsia="Times New Roman" w:hAnsi="Times New Roman" w:cs="Times New Roman"/>
        </w:rPr>
      </w:pPr>
    </w:p>
    <w:tbl>
      <w:tblPr>
        <w:tblW w:w="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9"/>
      </w:tblGrid>
      <w:tr w:rsidR="00914630" w14:paraId="22C75265" w14:textId="77777777" w:rsidTr="002A0151">
        <w:trPr>
          <w:jc w:val="center"/>
        </w:trPr>
        <w:tc>
          <w:tcPr>
            <w:tcW w:w="4459" w:type="dxa"/>
            <w:tcBorders>
              <w:top w:val="nil"/>
              <w:left w:val="nil"/>
              <w:bottom w:val="nil"/>
              <w:right w:val="nil"/>
            </w:tcBorders>
            <w:shd w:val="clear" w:color="auto" w:fill="D9D9D9"/>
          </w:tcPr>
          <w:p w14:paraId="3579F561" w14:textId="77777777" w:rsidR="00914630" w:rsidRDefault="00914630" w:rsidP="001A72C3">
            <w:pPr>
              <w:spacing w:after="1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UCAPAN TERIMA KASIH</w:t>
            </w:r>
          </w:p>
        </w:tc>
      </w:tr>
    </w:tbl>
    <w:p w14:paraId="346161C7" w14:textId="77777777" w:rsidR="008C7510" w:rsidRPr="0087693A" w:rsidRDefault="008C7510" w:rsidP="008C7510">
      <w:pPr>
        <w:spacing w:after="0"/>
        <w:ind w:firstLine="567"/>
        <w:jc w:val="both"/>
        <w:rPr>
          <w:rFonts w:ascii="Times New Roman" w:eastAsia="Times New Roman" w:hAnsi="Times New Roman" w:cs="Times New Roman"/>
        </w:rPr>
      </w:pPr>
      <w:r w:rsidRPr="0087693A">
        <w:rPr>
          <w:rFonts w:ascii="Times New Roman" w:eastAsia="Times New Roman" w:hAnsi="Times New Roman" w:cs="Times New Roman"/>
        </w:rPr>
        <w:t>Tim pelaksana pengabdian kepada masyarakat menyampaikan terima kasih kepada pimpinan Poltekkes Kemenkes Kupang yang telah memberikan dukungan dan fasilitas selama pelaksanaan kegiatan. Ucapan terima kasih juga disampaikan kepada seluruh dosen, tenaga kesehatan, mahasiswa pendamping, serta mahasiswa baru yang telah berpartisipasi aktif dalam kegiatan pemeriksaan kesehatan dasar dan edukasi kesehatan sehingga kegiatan pengabdian ini dapat terlaksana dengan baik dan lancar.</w:t>
      </w:r>
    </w:p>
    <w:p w14:paraId="03CE86A7" w14:textId="77777777" w:rsidR="00D05796" w:rsidRDefault="00D05796" w:rsidP="00D05796">
      <w:pPr>
        <w:spacing w:after="0"/>
        <w:ind w:firstLine="540"/>
        <w:jc w:val="both"/>
        <w:rPr>
          <w:rFonts w:ascii="Times New Roman" w:eastAsia="Times New Roman" w:hAnsi="Times New Roman" w:cs="Times New Roman"/>
        </w:rPr>
      </w:pPr>
      <w:bookmarkStart w:id="1" w:name="_heading=h.30j0zll" w:colFirst="0" w:colLast="0"/>
      <w:bookmarkEnd w:id="1"/>
    </w:p>
    <w:tbl>
      <w:tblPr>
        <w:tblW w:w="46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tblGrid>
      <w:tr w:rsidR="00D05796" w14:paraId="019203F4" w14:textId="77777777" w:rsidTr="00EE077D">
        <w:tc>
          <w:tcPr>
            <w:tcW w:w="4675" w:type="dxa"/>
            <w:tcBorders>
              <w:top w:val="nil"/>
              <w:left w:val="nil"/>
              <w:bottom w:val="nil"/>
              <w:right w:val="nil"/>
            </w:tcBorders>
            <w:shd w:val="clear" w:color="auto" w:fill="D9D9D9"/>
          </w:tcPr>
          <w:p w14:paraId="251068D2" w14:textId="77777777" w:rsidR="00D05796" w:rsidRDefault="00D05796" w:rsidP="00EE077D">
            <w:pPr>
              <w:spacing w:after="1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DAFTAR PUSTAKA</w:t>
            </w:r>
          </w:p>
        </w:tc>
      </w:tr>
    </w:tbl>
    <w:p w14:paraId="59AE5BF0" w14:textId="77777777" w:rsidR="00D05796" w:rsidRPr="00811EA2" w:rsidRDefault="00D05796" w:rsidP="00D05796">
      <w:pPr>
        <w:widowControl w:val="0"/>
        <w:autoSpaceDE w:val="0"/>
        <w:autoSpaceDN w:val="0"/>
        <w:adjustRightInd w:val="0"/>
        <w:spacing w:after="0"/>
        <w:ind w:left="640" w:hanging="640"/>
        <w:jc w:val="both"/>
        <w:rPr>
          <w:rFonts w:ascii="Times New Roman" w:hAnsi="Times New Roman" w:cs="Times New Roman"/>
          <w:noProof/>
          <w:szCs w:val="24"/>
        </w:rPr>
      </w:pPr>
      <w:r w:rsidRPr="00811EA2">
        <w:rPr>
          <w:b/>
          <w:bCs/>
        </w:rPr>
        <w:fldChar w:fldCharType="begin" w:fldLock="1"/>
      </w:r>
      <w:r w:rsidRPr="00811EA2">
        <w:rPr>
          <w:b/>
          <w:bCs/>
        </w:rPr>
        <w:instrText xml:space="preserve">ADDIN Mendeley Bibliography CSL_BIBLIOGRAPHY </w:instrText>
      </w:r>
      <w:r w:rsidRPr="00811EA2">
        <w:rPr>
          <w:b/>
          <w:bCs/>
        </w:rPr>
        <w:fldChar w:fldCharType="separate"/>
      </w:r>
      <w:r w:rsidRPr="00811EA2">
        <w:rPr>
          <w:rFonts w:ascii="Times New Roman" w:hAnsi="Times New Roman" w:cs="Times New Roman"/>
          <w:noProof/>
          <w:szCs w:val="24"/>
        </w:rPr>
        <w:t xml:space="preserve">1. </w:t>
      </w:r>
      <w:r w:rsidRPr="00811EA2">
        <w:rPr>
          <w:rFonts w:ascii="Times New Roman" w:hAnsi="Times New Roman" w:cs="Times New Roman"/>
          <w:noProof/>
          <w:szCs w:val="24"/>
        </w:rPr>
        <w:tab/>
        <w:t>Al Farochi MN, Noor T, Wibowo A, Darmawan D, Hardyansah R, Putra AR, et al. Optimalisasi peran mahasiswa dalam peningkatan kesehatan masyarakat melalui program cek kesehatan di kampus Universitas Sunan Giri Surabaya. Econ Xilena Abdi Masy. 2024;3(1):1–11. [</w:t>
      </w:r>
      <w:hyperlink r:id="rId15" w:history="1">
        <w:r w:rsidRPr="00811EA2">
          <w:rPr>
            <w:rStyle w:val="Hyperlink"/>
            <w:rFonts w:ascii="Times New Roman" w:hAnsi="Times New Roman" w:cs="Times New Roman"/>
            <w:noProof/>
            <w:szCs w:val="24"/>
            <w:u w:val="none"/>
          </w:rPr>
          <w:t>View at Publisher</w:t>
        </w:r>
      </w:hyperlink>
      <w:r w:rsidRPr="00811EA2">
        <w:rPr>
          <w:rFonts w:ascii="Times New Roman" w:hAnsi="Times New Roman" w:cs="Times New Roman"/>
          <w:noProof/>
          <w:szCs w:val="24"/>
        </w:rPr>
        <w:t>] [</w:t>
      </w:r>
      <w:hyperlink r:id="rId16" w:history="1">
        <w:r w:rsidRPr="00811EA2">
          <w:rPr>
            <w:rStyle w:val="Hyperlink"/>
            <w:rFonts w:ascii="Times New Roman" w:hAnsi="Times New Roman" w:cs="Times New Roman"/>
            <w:noProof/>
            <w:szCs w:val="24"/>
            <w:u w:val="none"/>
          </w:rPr>
          <w:t>Google Scholar</w:t>
        </w:r>
      </w:hyperlink>
      <w:r w:rsidRPr="00811EA2">
        <w:rPr>
          <w:rFonts w:ascii="Times New Roman" w:hAnsi="Times New Roman" w:cs="Times New Roman"/>
          <w:noProof/>
          <w:szCs w:val="24"/>
        </w:rPr>
        <w:t>]</w:t>
      </w:r>
    </w:p>
    <w:p w14:paraId="1109FE27" w14:textId="77777777" w:rsidR="00D05796" w:rsidRPr="00811EA2" w:rsidRDefault="00D05796" w:rsidP="00D05796">
      <w:pPr>
        <w:widowControl w:val="0"/>
        <w:autoSpaceDE w:val="0"/>
        <w:autoSpaceDN w:val="0"/>
        <w:adjustRightInd w:val="0"/>
        <w:spacing w:after="0"/>
        <w:ind w:left="640" w:hanging="640"/>
        <w:jc w:val="both"/>
        <w:rPr>
          <w:rFonts w:ascii="Times New Roman" w:hAnsi="Times New Roman" w:cs="Times New Roman"/>
          <w:noProof/>
          <w:szCs w:val="24"/>
        </w:rPr>
      </w:pPr>
      <w:r w:rsidRPr="00811EA2">
        <w:rPr>
          <w:rFonts w:ascii="Times New Roman" w:hAnsi="Times New Roman" w:cs="Times New Roman"/>
          <w:noProof/>
          <w:szCs w:val="24"/>
        </w:rPr>
        <w:t xml:space="preserve">2. </w:t>
      </w:r>
      <w:r w:rsidRPr="00811EA2">
        <w:rPr>
          <w:rFonts w:ascii="Times New Roman" w:hAnsi="Times New Roman" w:cs="Times New Roman"/>
          <w:noProof/>
          <w:szCs w:val="24"/>
        </w:rPr>
        <w:tab/>
        <w:t>Adam Y, Purwandari A, Lontaan A, Montolalu A. Deteksi Dini Faktor Resiko Remaja Putri Melalui Pemeriksaan Kesehatan Sederhana Sebagai Implementasi Interprofesional Colaboration (IPC). J Pengabdi Masy Cendikia Jenius. 2025;3(1):1–11. [</w:t>
      </w:r>
      <w:hyperlink r:id="rId17" w:history="1">
        <w:r w:rsidRPr="00811EA2">
          <w:rPr>
            <w:rStyle w:val="Hyperlink"/>
            <w:rFonts w:ascii="Times New Roman" w:hAnsi="Times New Roman" w:cs="Times New Roman"/>
            <w:noProof/>
            <w:szCs w:val="24"/>
            <w:u w:val="none"/>
          </w:rPr>
          <w:t>View at Publisher</w:t>
        </w:r>
      </w:hyperlink>
      <w:r w:rsidRPr="00811EA2">
        <w:rPr>
          <w:rFonts w:ascii="Times New Roman" w:hAnsi="Times New Roman" w:cs="Times New Roman"/>
          <w:noProof/>
          <w:szCs w:val="24"/>
        </w:rPr>
        <w:t>] [</w:t>
      </w:r>
      <w:hyperlink r:id="rId18" w:history="1">
        <w:r w:rsidRPr="00811EA2">
          <w:rPr>
            <w:rStyle w:val="Hyperlink"/>
            <w:rFonts w:ascii="Times New Roman" w:hAnsi="Times New Roman" w:cs="Times New Roman"/>
            <w:noProof/>
            <w:szCs w:val="24"/>
            <w:u w:val="none"/>
          </w:rPr>
          <w:t>Google Scholar</w:t>
        </w:r>
      </w:hyperlink>
      <w:r w:rsidRPr="00811EA2">
        <w:rPr>
          <w:rFonts w:ascii="Times New Roman" w:hAnsi="Times New Roman" w:cs="Times New Roman"/>
          <w:noProof/>
          <w:szCs w:val="24"/>
        </w:rPr>
        <w:t>]</w:t>
      </w:r>
    </w:p>
    <w:p w14:paraId="4767D5B1" w14:textId="77777777" w:rsidR="00D05796" w:rsidRPr="00811EA2" w:rsidRDefault="00D05796" w:rsidP="00D05796">
      <w:pPr>
        <w:widowControl w:val="0"/>
        <w:autoSpaceDE w:val="0"/>
        <w:autoSpaceDN w:val="0"/>
        <w:adjustRightInd w:val="0"/>
        <w:spacing w:after="0"/>
        <w:ind w:left="640" w:hanging="640"/>
        <w:jc w:val="both"/>
        <w:rPr>
          <w:rFonts w:ascii="Times New Roman" w:hAnsi="Times New Roman" w:cs="Times New Roman"/>
          <w:noProof/>
          <w:szCs w:val="24"/>
        </w:rPr>
      </w:pPr>
      <w:r w:rsidRPr="00811EA2">
        <w:rPr>
          <w:rFonts w:ascii="Times New Roman" w:hAnsi="Times New Roman" w:cs="Times New Roman"/>
          <w:noProof/>
          <w:szCs w:val="24"/>
        </w:rPr>
        <w:t xml:space="preserve">3. </w:t>
      </w:r>
      <w:r w:rsidRPr="00811EA2">
        <w:rPr>
          <w:rFonts w:ascii="Times New Roman" w:hAnsi="Times New Roman" w:cs="Times New Roman"/>
          <w:noProof/>
          <w:szCs w:val="24"/>
        </w:rPr>
        <w:tab/>
        <w:t>Putri DAA, Janattaka N, Astutik LS, Jadmiko RS, Oktaviarini N, Satria AP. Pendampingan Kesehatan Masyarakat melalui Pemeriksaan Kesehatan Dasar dan Edukasi Gaya Hidup Sehat. BERBAKTI J Pengabdi Kpd Masy. 2025;2(02):111–20. [</w:t>
      </w:r>
      <w:hyperlink r:id="rId19" w:history="1">
        <w:r w:rsidRPr="00811EA2">
          <w:rPr>
            <w:rStyle w:val="Hyperlink"/>
            <w:rFonts w:ascii="Times New Roman" w:hAnsi="Times New Roman" w:cs="Times New Roman"/>
            <w:noProof/>
            <w:szCs w:val="24"/>
            <w:u w:val="none"/>
          </w:rPr>
          <w:t>View at Publisher</w:t>
        </w:r>
      </w:hyperlink>
      <w:r w:rsidRPr="00811EA2">
        <w:rPr>
          <w:rFonts w:ascii="Times New Roman" w:hAnsi="Times New Roman" w:cs="Times New Roman"/>
          <w:noProof/>
          <w:szCs w:val="24"/>
        </w:rPr>
        <w:t>] [</w:t>
      </w:r>
      <w:hyperlink r:id="rId20" w:history="1">
        <w:r w:rsidRPr="00811EA2">
          <w:rPr>
            <w:rStyle w:val="Hyperlink"/>
            <w:rFonts w:ascii="Times New Roman" w:hAnsi="Times New Roman" w:cs="Times New Roman"/>
            <w:noProof/>
            <w:szCs w:val="24"/>
            <w:u w:val="none"/>
          </w:rPr>
          <w:t>Google Scholar</w:t>
        </w:r>
      </w:hyperlink>
      <w:r w:rsidRPr="00811EA2">
        <w:rPr>
          <w:rFonts w:ascii="Times New Roman" w:hAnsi="Times New Roman" w:cs="Times New Roman"/>
          <w:noProof/>
          <w:szCs w:val="24"/>
        </w:rPr>
        <w:t>]</w:t>
      </w:r>
    </w:p>
    <w:p w14:paraId="757DB1A0" w14:textId="77777777" w:rsidR="00D05796" w:rsidRPr="00811EA2" w:rsidRDefault="00D05796" w:rsidP="00D05796">
      <w:pPr>
        <w:widowControl w:val="0"/>
        <w:autoSpaceDE w:val="0"/>
        <w:autoSpaceDN w:val="0"/>
        <w:adjustRightInd w:val="0"/>
        <w:spacing w:after="0"/>
        <w:ind w:left="640" w:hanging="640"/>
        <w:jc w:val="both"/>
        <w:rPr>
          <w:rFonts w:ascii="Times New Roman" w:hAnsi="Times New Roman" w:cs="Times New Roman"/>
          <w:noProof/>
          <w:szCs w:val="24"/>
        </w:rPr>
      </w:pPr>
      <w:r w:rsidRPr="00811EA2">
        <w:rPr>
          <w:rFonts w:ascii="Times New Roman" w:hAnsi="Times New Roman" w:cs="Times New Roman"/>
          <w:noProof/>
          <w:szCs w:val="24"/>
        </w:rPr>
        <w:t xml:space="preserve">4. </w:t>
      </w:r>
      <w:r w:rsidRPr="00811EA2">
        <w:rPr>
          <w:rFonts w:ascii="Times New Roman" w:hAnsi="Times New Roman" w:cs="Times New Roman"/>
          <w:noProof/>
          <w:szCs w:val="24"/>
        </w:rPr>
        <w:tab/>
        <w:t>Butar-Butar MH, Syaftriani AM, Lasmawanti S, Agustyn VP. Pemeriksaan Kesehatan Dasar Dan Bakti Sosial Bagi Masyarakat Di Wilayah Petisah Tengah Medan. J Pengabdi Kpd Masy Indones. 2026;1(2):204–8. [</w:t>
      </w:r>
      <w:hyperlink r:id="rId21" w:history="1">
        <w:r w:rsidRPr="00811EA2">
          <w:rPr>
            <w:rStyle w:val="Hyperlink"/>
            <w:rFonts w:ascii="Times New Roman" w:hAnsi="Times New Roman" w:cs="Times New Roman"/>
            <w:noProof/>
            <w:szCs w:val="24"/>
            <w:u w:val="none"/>
          </w:rPr>
          <w:t>View at Publisher</w:t>
        </w:r>
      </w:hyperlink>
      <w:r w:rsidRPr="00811EA2">
        <w:rPr>
          <w:rFonts w:ascii="Times New Roman" w:hAnsi="Times New Roman" w:cs="Times New Roman"/>
          <w:noProof/>
          <w:szCs w:val="24"/>
        </w:rPr>
        <w:t>] [</w:t>
      </w:r>
      <w:hyperlink r:id="rId22" w:history="1">
        <w:r w:rsidRPr="00811EA2">
          <w:rPr>
            <w:rStyle w:val="Hyperlink"/>
            <w:rFonts w:ascii="Times New Roman" w:hAnsi="Times New Roman" w:cs="Times New Roman"/>
            <w:noProof/>
            <w:szCs w:val="24"/>
            <w:u w:val="none"/>
          </w:rPr>
          <w:t>Google Scholar</w:t>
        </w:r>
      </w:hyperlink>
      <w:r w:rsidRPr="00811EA2">
        <w:rPr>
          <w:rFonts w:ascii="Times New Roman" w:hAnsi="Times New Roman" w:cs="Times New Roman"/>
          <w:noProof/>
          <w:szCs w:val="24"/>
        </w:rPr>
        <w:t>]</w:t>
      </w:r>
    </w:p>
    <w:p w14:paraId="72144E85" w14:textId="77777777" w:rsidR="00D05796" w:rsidRPr="00811EA2" w:rsidRDefault="00D05796" w:rsidP="00D05796">
      <w:pPr>
        <w:widowControl w:val="0"/>
        <w:autoSpaceDE w:val="0"/>
        <w:autoSpaceDN w:val="0"/>
        <w:adjustRightInd w:val="0"/>
        <w:spacing w:after="0"/>
        <w:ind w:left="640" w:hanging="640"/>
        <w:jc w:val="both"/>
        <w:rPr>
          <w:rFonts w:ascii="Times New Roman" w:hAnsi="Times New Roman" w:cs="Times New Roman"/>
          <w:noProof/>
          <w:szCs w:val="24"/>
        </w:rPr>
      </w:pPr>
      <w:r w:rsidRPr="00811EA2">
        <w:rPr>
          <w:rFonts w:ascii="Times New Roman" w:hAnsi="Times New Roman" w:cs="Times New Roman"/>
          <w:noProof/>
          <w:szCs w:val="24"/>
        </w:rPr>
        <w:t xml:space="preserve">5. </w:t>
      </w:r>
      <w:r w:rsidRPr="00811EA2">
        <w:rPr>
          <w:rFonts w:ascii="Times New Roman" w:hAnsi="Times New Roman" w:cs="Times New Roman"/>
          <w:noProof/>
          <w:szCs w:val="24"/>
        </w:rPr>
        <w:tab/>
        <w:t>Zayani N, Dora MS, Alpices A, Yarnita Y, Mesra S, Cania R. Pemeriksaan Kesehatan Gratis di SMAN 3 Pariaman: Guru Sehat, Siswa Cerdas. J Pengabdi Masy Bhinneka. 2026;4(3):3957–63. [</w:t>
      </w:r>
      <w:hyperlink r:id="rId23" w:history="1">
        <w:r w:rsidRPr="00811EA2">
          <w:rPr>
            <w:rStyle w:val="Hyperlink"/>
            <w:rFonts w:ascii="Times New Roman" w:hAnsi="Times New Roman" w:cs="Times New Roman"/>
            <w:noProof/>
            <w:szCs w:val="24"/>
            <w:u w:val="none"/>
          </w:rPr>
          <w:t>View at Publisher</w:t>
        </w:r>
      </w:hyperlink>
      <w:r w:rsidRPr="00811EA2">
        <w:rPr>
          <w:rFonts w:ascii="Times New Roman" w:hAnsi="Times New Roman" w:cs="Times New Roman"/>
          <w:noProof/>
          <w:szCs w:val="24"/>
        </w:rPr>
        <w:t>] [</w:t>
      </w:r>
      <w:hyperlink r:id="rId24" w:history="1">
        <w:r w:rsidRPr="00811EA2">
          <w:rPr>
            <w:rStyle w:val="Hyperlink"/>
            <w:rFonts w:ascii="Times New Roman" w:hAnsi="Times New Roman" w:cs="Times New Roman"/>
            <w:noProof/>
            <w:szCs w:val="24"/>
            <w:u w:val="none"/>
          </w:rPr>
          <w:t>Google Scholar</w:t>
        </w:r>
      </w:hyperlink>
      <w:r w:rsidRPr="00811EA2">
        <w:rPr>
          <w:rFonts w:ascii="Times New Roman" w:hAnsi="Times New Roman" w:cs="Times New Roman"/>
          <w:noProof/>
          <w:szCs w:val="24"/>
        </w:rPr>
        <w:t>]</w:t>
      </w:r>
    </w:p>
    <w:p w14:paraId="101526DA" w14:textId="77777777" w:rsidR="00D05796" w:rsidRPr="00811EA2" w:rsidRDefault="00D05796" w:rsidP="00D05796">
      <w:pPr>
        <w:widowControl w:val="0"/>
        <w:autoSpaceDE w:val="0"/>
        <w:autoSpaceDN w:val="0"/>
        <w:adjustRightInd w:val="0"/>
        <w:spacing w:after="0"/>
        <w:ind w:left="640" w:hanging="640"/>
        <w:jc w:val="both"/>
        <w:rPr>
          <w:rFonts w:ascii="Times New Roman" w:hAnsi="Times New Roman" w:cs="Times New Roman"/>
          <w:noProof/>
          <w:szCs w:val="24"/>
        </w:rPr>
      </w:pPr>
      <w:r w:rsidRPr="00811EA2">
        <w:rPr>
          <w:rFonts w:ascii="Times New Roman" w:hAnsi="Times New Roman" w:cs="Times New Roman"/>
          <w:noProof/>
          <w:szCs w:val="24"/>
        </w:rPr>
        <w:t xml:space="preserve">6. </w:t>
      </w:r>
      <w:r w:rsidRPr="00811EA2">
        <w:rPr>
          <w:rFonts w:ascii="Times New Roman" w:hAnsi="Times New Roman" w:cs="Times New Roman"/>
          <w:noProof/>
          <w:szCs w:val="24"/>
        </w:rPr>
        <w:tab/>
        <w:t>Pratidina E, Jundiah RS, Rokayah C, Irawan S, Imam H. Peningkatan literasi kesehatan masyarakat melalui edukasi dan pemeriksaan kesehatan di Kabupaten Bandung. J Med Med. 2025;4(3):388–94. [</w:t>
      </w:r>
      <w:hyperlink r:id="rId25" w:history="1">
        <w:r w:rsidRPr="00811EA2">
          <w:rPr>
            <w:rStyle w:val="Hyperlink"/>
            <w:rFonts w:ascii="Times New Roman" w:hAnsi="Times New Roman" w:cs="Times New Roman"/>
            <w:noProof/>
            <w:szCs w:val="24"/>
            <w:u w:val="none"/>
          </w:rPr>
          <w:t>View at Publisher</w:t>
        </w:r>
      </w:hyperlink>
      <w:r w:rsidRPr="00811EA2">
        <w:rPr>
          <w:rFonts w:ascii="Times New Roman" w:hAnsi="Times New Roman" w:cs="Times New Roman"/>
          <w:noProof/>
          <w:szCs w:val="24"/>
        </w:rPr>
        <w:t>] [</w:t>
      </w:r>
      <w:hyperlink r:id="rId26" w:history="1">
        <w:r w:rsidRPr="00811EA2">
          <w:rPr>
            <w:rStyle w:val="Hyperlink"/>
            <w:rFonts w:ascii="Times New Roman" w:hAnsi="Times New Roman" w:cs="Times New Roman"/>
            <w:noProof/>
            <w:szCs w:val="24"/>
            <w:u w:val="none"/>
          </w:rPr>
          <w:t>Google Scholar</w:t>
        </w:r>
      </w:hyperlink>
      <w:r w:rsidRPr="00811EA2">
        <w:rPr>
          <w:rFonts w:ascii="Times New Roman" w:hAnsi="Times New Roman" w:cs="Times New Roman"/>
          <w:noProof/>
          <w:szCs w:val="24"/>
        </w:rPr>
        <w:t>]</w:t>
      </w:r>
    </w:p>
    <w:p w14:paraId="16802747" w14:textId="77777777" w:rsidR="00D05796" w:rsidRPr="00811EA2" w:rsidRDefault="00D05796" w:rsidP="00D05796">
      <w:pPr>
        <w:widowControl w:val="0"/>
        <w:autoSpaceDE w:val="0"/>
        <w:autoSpaceDN w:val="0"/>
        <w:adjustRightInd w:val="0"/>
        <w:spacing w:after="0"/>
        <w:ind w:left="640" w:hanging="640"/>
        <w:jc w:val="both"/>
        <w:rPr>
          <w:rFonts w:ascii="Times New Roman" w:hAnsi="Times New Roman" w:cs="Times New Roman"/>
          <w:noProof/>
          <w:szCs w:val="24"/>
        </w:rPr>
      </w:pPr>
      <w:r w:rsidRPr="00811EA2">
        <w:rPr>
          <w:rFonts w:ascii="Times New Roman" w:hAnsi="Times New Roman" w:cs="Times New Roman"/>
          <w:noProof/>
          <w:szCs w:val="24"/>
        </w:rPr>
        <w:t xml:space="preserve">7. </w:t>
      </w:r>
      <w:r w:rsidRPr="00811EA2">
        <w:rPr>
          <w:rFonts w:ascii="Times New Roman" w:hAnsi="Times New Roman" w:cs="Times New Roman"/>
          <w:noProof/>
          <w:szCs w:val="24"/>
        </w:rPr>
        <w:tab/>
        <w:t>Pratiwi W, Riani PN, Farihi MI, Sari RI, Yuvita Y. Implementasi Pemeriksaan Kesehatan Gratis Melalui Bakti Sosial di Swarangan. PROGRESIF J Pengabdi Komunitas Pendidik. 2026;6(1):9–18. [</w:t>
      </w:r>
      <w:hyperlink r:id="rId27" w:history="1">
        <w:r w:rsidRPr="00811EA2">
          <w:rPr>
            <w:rStyle w:val="Hyperlink"/>
            <w:rFonts w:ascii="Times New Roman" w:hAnsi="Times New Roman" w:cs="Times New Roman"/>
            <w:noProof/>
            <w:szCs w:val="24"/>
            <w:u w:val="none"/>
          </w:rPr>
          <w:t>View at Publisher</w:t>
        </w:r>
      </w:hyperlink>
      <w:r w:rsidRPr="00811EA2">
        <w:rPr>
          <w:rFonts w:ascii="Times New Roman" w:hAnsi="Times New Roman" w:cs="Times New Roman"/>
          <w:noProof/>
          <w:szCs w:val="24"/>
        </w:rPr>
        <w:t>] [</w:t>
      </w:r>
      <w:hyperlink r:id="rId28" w:history="1">
        <w:r w:rsidRPr="00811EA2">
          <w:rPr>
            <w:rStyle w:val="Hyperlink"/>
            <w:rFonts w:ascii="Times New Roman" w:hAnsi="Times New Roman" w:cs="Times New Roman"/>
            <w:noProof/>
            <w:szCs w:val="24"/>
            <w:u w:val="none"/>
          </w:rPr>
          <w:t>Google Scholar</w:t>
        </w:r>
      </w:hyperlink>
      <w:r w:rsidRPr="00811EA2">
        <w:rPr>
          <w:rFonts w:ascii="Times New Roman" w:hAnsi="Times New Roman" w:cs="Times New Roman"/>
          <w:noProof/>
          <w:szCs w:val="24"/>
        </w:rPr>
        <w:t>]</w:t>
      </w:r>
    </w:p>
    <w:p w14:paraId="4D6F9D78" w14:textId="77777777" w:rsidR="00D05796" w:rsidRPr="00811EA2" w:rsidRDefault="00D05796" w:rsidP="00D05796">
      <w:pPr>
        <w:widowControl w:val="0"/>
        <w:autoSpaceDE w:val="0"/>
        <w:autoSpaceDN w:val="0"/>
        <w:adjustRightInd w:val="0"/>
        <w:spacing w:after="0"/>
        <w:ind w:left="640" w:hanging="640"/>
        <w:jc w:val="both"/>
        <w:rPr>
          <w:rFonts w:ascii="Times New Roman" w:hAnsi="Times New Roman" w:cs="Times New Roman"/>
          <w:noProof/>
          <w:szCs w:val="24"/>
        </w:rPr>
      </w:pPr>
      <w:r w:rsidRPr="00811EA2">
        <w:rPr>
          <w:rFonts w:ascii="Times New Roman" w:hAnsi="Times New Roman" w:cs="Times New Roman"/>
          <w:noProof/>
          <w:szCs w:val="24"/>
        </w:rPr>
        <w:t xml:space="preserve">8. </w:t>
      </w:r>
      <w:r w:rsidRPr="00811EA2">
        <w:rPr>
          <w:rFonts w:ascii="Times New Roman" w:hAnsi="Times New Roman" w:cs="Times New Roman"/>
          <w:noProof/>
          <w:szCs w:val="24"/>
        </w:rPr>
        <w:tab/>
        <w:t>Thalib P, Diana E, Kholiq MN. Pengabdian Masyarakat melalui Pemeriksaan Kesehatan Gratis GeNose C19 pada Santri Pondok Pesantren Nurul Khidmah Surabaya. Janaloka. 2022;1(1):28–38. [</w:t>
      </w:r>
      <w:hyperlink r:id="rId29" w:history="1">
        <w:r w:rsidRPr="00811EA2">
          <w:rPr>
            <w:rStyle w:val="Hyperlink"/>
            <w:rFonts w:ascii="Times New Roman" w:hAnsi="Times New Roman" w:cs="Times New Roman"/>
            <w:noProof/>
            <w:szCs w:val="24"/>
            <w:u w:val="none"/>
          </w:rPr>
          <w:t>View at Publisher</w:t>
        </w:r>
      </w:hyperlink>
      <w:r w:rsidRPr="00811EA2">
        <w:rPr>
          <w:rFonts w:ascii="Times New Roman" w:hAnsi="Times New Roman" w:cs="Times New Roman"/>
          <w:noProof/>
          <w:szCs w:val="24"/>
        </w:rPr>
        <w:t>] [</w:t>
      </w:r>
      <w:hyperlink r:id="rId30" w:history="1">
        <w:r w:rsidRPr="00811EA2">
          <w:rPr>
            <w:rStyle w:val="Hyperlink"/>
            <w:rFonts w:ascii="Times New Roman" w:hAnsi="Times New Roman" w:cs="Times New Roman"/>
            <w:noProof/>
            <w:szCs w:val="24"/>
            <w:u w:val="none"/>
          </w:rPr>
          <w:t>Google Scholar</w:t>
        </w:r>
      </w:hyperlink>
      <w:r w:rsidRPr="00811EA2">
        <w:rPr>
          <w:rFonts w:ascii="Times New Roman" w:hAnsi="Times New Roman" w:cs="Times New Roman"/>
          <w:noProof/>
          <w:szCs w:val="24"/>
        </w:rPr>
        <w:t>]</w:t>
      </w:r>
    </w:p>
    <w:p w14:paraId="4DF8D3CB" w14:textId="77777777" w:rsidR="00D05796" w:rsidRPr="00811EA2" w:rsidRDefault="00D05796" w:rsidP="00D05796">
      <w:pPr>
        <w:widowControl w:val="0"/>
        <w:autoSpaceDE w:val="0"/>
        <w:autoSpaceDN w:val="0"/>
        <w:adjustRightInd w:val="0"/>
        <w:spacing w:after="0"/>
        <w:ind w:left="640" w:hanging="640"/>
        <w:jc w:val="both"/>
        <w:rPr>
          <w:rFonts w:ascii="Times New Roman" w:hAnsi="Times New Roman" w:cs="Times New Roman"/>
          <w:noProof/>
          <w:szCs w:val="24"/>
        </w:rPr>
      </w:pPr>
      <w:r w:rsidRPr="00811EA2">
        <w:rPr>
          <w:rFonts w:ascii="Times New Roman" w:hAnsi="Times New Roman" w:cs="Times New Roman"/>
          <w:noProof/>
          <w:szCs w:val="24"/>
        </w:rPr>
        <w:t xml:space="preserve">9. </w:t>
      </w:r>
      <w:r w:rsidRPr="00811EA2">
        <w:rPr>
          <w:rFonts w:ascii="Times New Roman" w:hAnsi="Times New Roman" w:cs="Times New Roman"/>
          <w:noProof/>
          <w:szCs w:val="24"/>
        </w:rPr>
        <w:tab/>
        <w:t>Cholidah R, Yudhanto D, Firdausy F, Putri BRC, Sadi MAF. Pemeriksaan Kesehatan Gratis: Poli Umum, THT, Mata, dan Kandungan oleh Tim Bantuan Medis Bumi Gora Fakultas Kedokteran dan Ilmu Kesehatan Universitas Mataram di Desa Kuta, Kecamatan Pujut, Kabupaten Lombok Tengah. J Pengabdi Magister Pendidik IPA. 2025;8(1):310–4. [</w:t>
      </w:r>
      <w:hyperlink r:id="rId31" w:history="1">
        <w:r w:rsidRPr="00811EA2">
          <w:rPr>
            <w:rStyle w:val="Hyperlink"/>
            <w:rFonts w:ascii="Times New Roman" w:hAnsi="Times New Roman" w:cs="Times New Roman"/>
            <w:noProof/>
            <w:szCs w:val="24"/>
            <w:u w:val="none"/>
          </w:rPr>
          <w:t>View at Publisher</w:t>
        </w:r>
      </w:hyperlink>
      <w:r w:rsidRPr="00811EA2">
        <w:rPr>
          <w:rFonts w:ascii="Times New Roman" w:hAnsi="Times New Roman" w:cs="Times New Roman"/>
          <w:noProof/>
          <w:szCs w:val="24"/>
        </w:rPr>
        <w:t>] [</w:t>
      </w:r>
      <w:hyperlink r:id="rId32" w:history="1">
        <w:r w:rsidRPr="00811EA2">
          <w:rPr>
            <w:rStyle w:val="Hyperlink"/>
            <w:rFonts w:ascii="Times New Roman" w:hAnsi="Times New Roman" w:cs="Times New Roman"/>
            <w:noProof/>
            <w:szCs w:val="24"/>
            <w:u w:val="none"/>
          </w:rPr>
          <w:t>Google Scholar</w:t>
        </w:r>
      </w:hyperlink>
      <w:r w:rsidRPr="00811EA2">
        <w:rPr>
          <w:rFonts w:ascii="Times New Roman" w:hAnsi="Times New Roman" w:cs="Times New Roman"/>
          <w:noProof/>
          <w:szCs w:val="24"/>
        </w:rPr>
        <w:t>]</w:t>
      </w:r>
    </w:p>
    <w:p w14:paraId="5DE1EC5C" w14:textId="77777777" w:rsidR="00D05796" w:rsidRPr="00811EA2" w:rsidRDefault="00D05796" w:rsidP="00D05796">
      <w:pPr>
        <w:widowControl w:val="0"/>
        <w:autoSpaceDE w:val="0"/>
        <w:autoSpaceDN w:val="0"/>
        <w:adjustRightInd w:val="0"/>
        <w:spacing w:after="0"/>
        <w:ind w:left="640" w:hanging="640"/>
        <w:jc w:val="both"/>
        <w:rPr>
          <w:rFonts w:ascii="Times New Roman" w:hAnsi="Times New Roman" w:cs="Times New Roman"/>
          <w:noProof/>
          <w:szCs w:val="24"/>
        </w:rPr>
      </w:pPr>
      <w:r w:rsidRPr="00811EA2">
        <w:rPr>
          <w:rFonts w:ascii="Times New Roman" w:hAnsi="Times New Roman" w:cs="Times New Roman"/>
          <w:noProof/>
          <w:szCs w:val="24"/>
        </w:rPr>
        <w:t>1</w:t>
      </w:r>
      <w:r w:rsidRPr="00811EA2">
        <w:rPr>
          <w:rFonts w:ascii="Times New Roman" w:hAnsi="Times New Roman" w:cs="Times New Roman"/>
          <w:noProof/>
          <w:szCs w:val="24"/>
          <w:lang w:val="en-US"/>
        </w:rPr>
        <w:t>0</w:t>
      </w:r>
      <w:r w:rsidRPr="00811EA2">
        <w:rPr>
          <w:rFonts w:ascii="Times New Roman" w:hAnsi="Times New Roman" w:cs="Times New Roman"/>
          <w:noProof/>
          <w:szCs w:val="24"/>
        </w:rPr>
        <w:t xml:space="preserve">. </w:t>
      </w:r>
      <w:r w:rsidRPr="00811EA2">
        <w:rPr>
          <w:rFonts w:ascii="Times New Roman" w:hAnsi="Times New Roman" w:cs="Times New Roman"/>
          <w:noProof/>
          <w:szCs w:val="24"/>
        </w:rPr>
        <w:tab/>
        <w:t>Mardhiyah SA, Iswani RD, Juniarly A. Inisiasi mental health awareness melalui screening dan promosi kesehatan mental pada mahasiswa Universitas Sriwijaya. J Pengabdi Sriwij. 2019;7(4):906–14. [</w:t>
      </w:r>
      <w:hyperlink r:id="rId33" w:history="1">
        <w:r w:rsidRPr="00811EA2">
          <w:rPr>
            <w:rStyle w:val="Hyperlink"/>
            <w:rFonts w:ascii="Times New Roman" w:hAnsi="Times New Roman" w:cs="Times New Roman"/>
            <w:noProof/>
            <w:szCs w:val="24"/>
            <w:u w:val="none"/>
          </w:rPr>
          <w:t>View at Publisher</w:t>
        </w:r>
      </w:hyperlink>
      <w:r w:rsidRPr="00811EA2">
        <w:rPr>
          <w:rFonts w:ascii="Times New Roman" w:hAnsi="Times New Roman" w:cs="Times New Roman"/>
          <w:noProof/>
          <w:szCs w:val="24"/>
        </w:rPr>
        <w:t>] [</w:t>
      </w:r>
      <w:hyperlink r:id="rId34" w:history="1">
        <w:r w:rsidRPr="00811EA2">
          <w:rPr>
            <w:rStyle w:val="Hyperlink"/>
            <w:rFonts w:ascii="Times New Roman" w:hAnsi="Times New Roman" w:cs="Times New Roman"/>
            <w:noProof/>
            <w:szCs w:val="24"/>
            <w:u w:val="none"/>
          </w:rPr>
          <w:t>Google Scholar</w:t>
        </w:r>
      </w:hyperlink>
      <w:r w:rsidRPr="00811EA2">
        <w:rPr>
          <w:rFonts w:ascii="Times New Roman" w:hAnsi="Times New Roman" w:cs="Times New Roman"/>
          <w:noProof/>
          <w:szCs w:val="24"/>
        </w:rPr>
        <w:t>]</w:t>
      </w:r>
    </w:p>
    <w:p w14:paraId="3F35688D" w14:textId="77777777" w:rsidR="00D05796" w:rsidRPr="00811EA2" w:rsidRDefault="00D05796" w:rsidP="00D05796">
      <w:pPr>
        <w:widowControl w:val="0"/>
        <w:autoSpaceDE w:val="0"/>
        <w:autoSpaceDN w:val="0"/>
        <w:adjustRightInd w:val="0"/>
        <w:spacing w:after="0"/>
        <w:ind w:left="640" w:hanging="640"/>
        <w:jc w:val="both"/>
        <w:rPr>
          <w:rFonts w:ascii="Times New Roman" w:hAnsi="Times New Roman" w:cs="Times New Roman"/>
          <w:noProof/>
          <w:szCs w:val="24"/>
        </w:rPr>
      </w:pPr>
      <w:r w:rsidRPr="00811EA2">
        <w:rPr>
          <w:rFonts w:ascii="Times New Roman" w:hAnsi="Times New Roman" w:cs="Times New Roman"/>
          <w:noProof/>
          <w:szCs w:val="24"/>
        </w:rPr>
        <w:t>1</w:t>
      </w:r>
      <w:r w:rsidRPr="00811EA2">
        <w:rPr>
          <w:rFonts w:ascii="Times New Roman" w:hAnsi="Times New Roman" w:cs="Times New Roman"/>
          <w:noProof/>
          <w:szCs w:val="24"/>
          <w:lang w:val="en-US"/>
        </w:rPr>
        <w:t>1</w:t>
      </w:r>
      <w:r w:rsidRPr="00811EA2">
        <w:rPr>
          <w:rFonts w:ascii="Times New Roman" w:hAnsi="Times New Roman" w:cs="Times New Roman"/>
          <w:noProof/>
          <w:szCs w:val="24"/>
        </w:rPr>
        <w:t xml:space="preserve">. </w:t>
      </w:r>
      <w:r w:rsidRPr="00811EA2">
        <w:rPr>
          <w:rFonts w:ascii="Times New Roman" w:hAnsi="Times New Roman" w:cs="Times New Roman"/>
          <w:noProof/>
          <w:szCs w:val="24"/>
        </w:rPr>
        <w:tab/>
        <w:t>Anggreswari IS, Amir EF, Husnah R, Utama IWEB. Screening Gangguan Kesehatan Mental Remaja Menggunakan Web SICHI Pada Remaja Di Kota Batam. Bunda Edu-Midwifery J. 2025;8(1):1–9. [</w:t>
      </w:r>
      <w:hyperlink r:id="rId35" w:history="1">
        <w:r w:rsidRPr="00811EA2">
          <w:rPr>
            <w:rStyle w:val="Hyperlink"/>
            <w:rFonts w:ascii="Times New Roman" w:hAnsi="Times New Roman" w:cs="Times New Roman"/>
            <w:noProof/>
            <w:szCs w:val="24"/>
            <w:u w:val="none"/>
          </w:rPr>
          <w:t>View at Publisher</w:t>
        </w:r>
      </w:hyperlink>
      <w:r w:rsidRPr="00811EA2">
        <w:rPr>
          <w:rFonts w:ascii="Times New Roman" w:hAnsi="Times New Roman" w:cs="Times New Roman"/>
          <w:noProof/>
          <w:szCs w:val="24"/>
        </w:rPr>
        <w:t>] [</w:t>
      </w:r>
      <w:hyperlink r:id="rId36" w:history="1">
        <w:r w:rsidRPr="00811EA2">
          <w:rPr>
            <w:rStyle w:val="Hyperlink"/>
            <w:rFonts w:ascii="Times New Roman" w:hAnsi="Times New Roman" w:cs="Times New Roman"/>
            <w:noProof/>
            <w:szCs w:val="24"/>
            <w:u w:val="none"/>
          </w:rPr>
          <w:t>Google Scholar</w:t>
        </w:r>
      </w:hyperlink>
      <w:r w:rsidRPr="00811EA2">
        <w:rPr>
          <w:rFonts w:ascii="Times New Roman" w:hAnsi="Times New Roman" w:cs="Times New Roman"/>
          <w:noProof/>
          <w:szCs w:val="24"/>
        </w:rPr>
        <w:t>]</w:t>
      </w:r>
    </w:p>
    <w:p w14:paraId="7EF8CEF9" w14:textId="77777777" w:rsidR="00D05796" w:rsidRPr="00811EA2" w:rsidRDefault="00D05796" w:rsidP="00D05796">
      <w:pPr>
        <w:widowControl w:val="0"/>
        <w:autoSpaceDE w:val="0"/>
        <w:autoSpaceDN w:val="0"/>
        <w:adjustRightInd w:val="0"/>
        <w:spacing w:after="0"/>
        <w:ind w:left="640" w:hanging="640"/>
        <w:jc w:val="both"/>
        <w:rPr>
          <w:rFonts w:ascii="Times New Roman" w:hAnsi="Times New Roman" w:cs="Times New Roman"/>
          <w:noProof/>
          <w:szCs w:val="24"/>
        </w:rPr>
      </w:pPr>
      <w:r w:rsidRPr="00811EA2">
        <w:rPr>
          <w:rFonts w:ascii="Times New Roman" w:hAnsi="Times New Roman" w:cs="Times New Roman"/>
          <w:noProof/>
          <w:szCs w:val="24"/>
        </w:rPr>
        <w:t>1</w:t>
      </w:r>
      <w:r w:rsidRPr="00811EA2">
        <w:rPr>
          <w:rFonts w:ascii="Times New Roman" w:hAnsi="Times New Roman" w:cs="Times New Roman"/>
          <w:noProof/>
          <w:szCs w:val="24"/>
          <w:lang w:val="en-US"/>
        </w:rPr>
        <w:t>2</w:t>
      </w:r>
      <w:r w:rsidRPr="00811EA2">
        <w:rPr>
          <w:rFonts w:ascii="Times New Roman" w:hAnsi="Times New Roman" w:cs="Times New Roman"/>
          <w:noProof/>
          <w:szCs w:val="24"/>
        </w:rPr>
        <w:t xml:space="preserve">. </w:t>
      </w:r>
      <w:r w:rsidRPr="00811EA2">
        <w:rPr>
          <w:rFonts w:ascii="Times New Roman" w:hAnsi="Times New Roman" w:cs="Times New Roman"/>
          <w:noProof/>
          <w:szCs w:val="24"/>
        </w:rPr>
        <w:tab/>
        <w:t>Al Hakim L, Puspitosori WA. Efektivitas Pelatihan Konselor Sebaya Terhadap Keterampilan Skrining Masalah Kesehatan Mental Pada Mahasiswa University Residence (Unires). Malahayati Nurs J. 2025;7(12):5217–26. [</w:t>
      </w:r>
      <w:hyperlink r:id="rId37" w:history="1">
        <w:r w:rsidRPr="00811EA2">
          <w:rPr>
            <w:rStyle w:val="Hyperlink"/>
            <w:rFonts w:ascii="Times New Roman" w:hAnsi="Times New Roman" w:cs="Times New Roman"/>
            <w:noProof/>
            <w:szCs w:val="24"/>
            <w:u w:val="none"/>
          </w:rPr>
          <w:t>View at Publisher</w:t>
        </w:r>
      </w:hyperlink>
      <w:r w:rsidRPr="00811EA2">
        <w:rPr>
          <w:rFonts w:ascii="Times New Roman" w:hAnsi="Times New Roman" w:cs="Times New Roman"/>
          <w:noProof/>
          <w:szCs w:val="24"/>
        </w:rPr>
        <w:t>] [</w:t>
      </w:r>
      <w:hyperlink r:id="rId38" w:history="1">
        <w:r w:rsidRPr="00811EA2">
          <w:rPr>
            <w:rStyle w:val="Hyperlink"/>
            <w:rFonts w:ascii="Times New Roman" w:hAnsi="Times New Roman" w:cs="Times New Roman"/>
            <w:noProof/>
            <w:szCs w:val="24"/>
            <w:u w:val="none"/>
          </w:rPr>
          <w:t>Google Scholar</w:t>
        </w:r>
      </w:hyperlink>
      <w:r w:rsidRPr="00811EA2">
        <w:rPr>
          <w:rFonts w:ascii="Times New Roman" w:hAnsi="Times New Roman" w:cs="Times New Roman"/>
          <w:noProof/>
          <w:szCs w:val="24"/>
        </w:rPr>
        <w:t>]</w:t>
      </w:r>
    </w:p>
    <w:p w14:paraId="2A2919EC" w14:textId="77777777" w:rsidR="00D05796" w:rsidRPr="00811EA2" w:rsidRDefault="00D05796" w:rsidP="00D05796">
      <w:pPr>
        <w:widowControl w:val="0"/>
        <w:autoSpaceDE w:val="0"/>
        <w:autoSpaceDN w:val="0"/>
        <w:adjustRightInd w:val="0"/>
        <w:spacing w:after="0"/>
        <w:ind w:left="640" w:hanging="640"/>
        <w:jc w:val="both"/>
        <w:rPr>
          <w:rFonts w:ascii="Times New Roman" w:hAnsi="Times New Roman" w:cs="Times New Roman"/>
          <w:noProof/>
          <w:szCs w:val="24"/>
        </w:rPr>
      </w:pPr>
      <w:r w:rsidRPr="00811EA2">
        <w:rPr>
          <w:rFonts w:ascii="Times New Roman" w:hAnsi="Times New Roman" w:cs="Times New Roman"/>
          <w:noProof/>
          <w:szCs w:val="24"/>
        </w:rPr>
        <w:t>1</w:t>
      </w:r>
      <w:r w:rsidRPr="00811EA2">
        <w:rPr>
          <w:rFonts w:ascii="Times New Roman" w:hAnsi="Times New Roman" w:cs="Times New Roman"/>
          <w:noProof/>
          <w:szCs w:val="24"/>
          <w:lang w:val="en-US"/>
        </w:rPr>
        <w:t>3</w:t>
      </w:r>
      <w:r w:rsidRPr="00811EA2">
        <w:rPr>
          <w:rFonts w:ascii="Times New Roman" w:hAnsi="Times New Roman" w:cs="Times New Roman"/>
          <w:noProof/>
          <w:szCs w:val="24"/>
        </w:rPr>
        <w:t xml:space="preserve">. </w:t>
      </w:r>
      <w:r w:rsidRPr="00811EA2">
        <w:rPr>
          <w:rFonts w:ascii="Times New Roman" w:hAnsi="Times New Roman" w:cs="Times New Roman"/>
          <w:noProof/>
          <w:szCs w:val="24"/>
        </w:rPr>
        <w:tab/>
        <w:t>Wahyuni S, Suharno S, Wianti A, Hijriani H, Heni H, Setyowati R, et al. Skrining Kesehatan Mental Usia Dewasa Awal Pada Mahasiswa Universitas YPIB Majalengka Sebagai Tindakan Pencegahan Gangguan Mental. J Pengabdi Masy Bhinneka. 2025;4(1):37–43. [</w:t>
      </w:r>
      <w:hyperlink r:id="rId39" w:history="1">
        <w:r w:rsidRPr="00811EA2">
          <w:rPr>
            <w:rStyle w:val="Hyperlink"/>
            <w:rFonts w:ascii="Times New Roman" w:hAnsi="Times New Roman" w:cs="Times New Roman"/>
            <w:noProof/>
            <w:szCs w:val="24"/>
            <w:u w:val="none"/>
          </w:rPr>
          <w:t>View at Publisher</w:t>
        </w:r>
      </w:hyperlink>
      <w:r w:rsidRPr="00811EA2">
        <w:rPr>
          <w:rFonts w:ascii="Times New Roman" w:hAnsi="Times New Roman" w:cs="Times New Roman"/>
          <w:noProof/>
          <w:szCs w:val="24"/>
        </w:rPr>
        <w:t>] [</w:t>
      </w:r>
      <w:hyperlink r:id="rId40" w:history="1">
        <w:r w:rsidRPr="00811EA2">
          <w:rPr>
            <w:rStyle w:val="Hyperlink"/>
            <w:rFonts w:ascii="Times New Roman" w:hAnsi="Times New Roman" w:cs="Times New Roman"/>
            <w:noProof/>
            <w:szCs w:val="24"/>
            <w:u w:val="none"/>
          </w:rPr>
          <w:t>Google Scholar</w:t>
        </w:r>
      </w:hyperlink>
      <w:r w:rsidRPr="00811EA2">
        <w:rPr>
          <w:rFonts w:ascii="Times New Roman" w:hAnsi="Times New Roman" w:cs="Times New Roman"/>
          <w:noProof/>
          <w:szCs w:val="24"/>
        </w:rPr>
        <w:t>]</w:t>
      </w:r>
    </w:p>
    <w:p w14:paraId="05D44921" w14:textId="77777777" w:rsidR="00D05796" w:rsidRPr="00811EA2" w:rsidRDefault="00D05796" w:rsidP="00D05796">
      <w:pPr>
        <w:widowControl w:val="0"/>
        <w:autoSpaceDE w:val="0"/>
        <w:autoSpaceDN w:val="0"/>
        <w:adjustRightInd w:val="0"/>
        <w:spacing w:after="0"/>
        <w:ind w:left="640" w:hanging="640"/>
        <w:jc w:val="both"/>
        <w:rPr>
          <w:rFonts w:ascii="Times New Roman" w:hAnsi="Times New Roman" w:cs="Times New Roman"/>
          <w:noProof/>
          <w:szCs w:val="24"/>
        </w:rPr>
      </w:pPr>
      <w:r w:rsidRPr="00811EA2">
        <w:rPr>
          <w:rFonts w:ascii="Times New Roman" w:hAnsi="Times New Roman" w:cs="Times New Roman"/>
          <w:noProof/>
          <w:szCs w:val="24"/>
        </w:rPr>
        <w:t>1</w:t>
      </w:r>
      <w:r w:rsidRPr="00811EA2">
        <w:rPr>
          <w:rFonts w:ascii="Times New Roman" w:hAnsi="Times New Roman" w:cs="Times New Roman"/>
          <w:noProof/>
          <w:szCs w:val="24"/>
          <w:lang w:val="en-US"/>
        </w:rPr>
        <w:t>4</w:t>
      </w:r>
      <w:r w:rsidRPr="00811EA2">
        <w:rPr>
          <w:rFonts w:ascii="Times New Roman" w:hAnsi="Times New Roman" w:cs="Times New Roman"/>
          <w:noProof/>
          <w:szCs w:val="24"/>
        </w:rPr>
        <w:t xml:space="preserve">. </w:t>
      </w:r>
      <w:r w:rsidRPr="00811EA2">
        <w:rPr>
          <w:rFonts w:ascii="Times New Roman" w:hAnsi="Times New Roman" w:cs="Times New Roman"/>
          <w:noProof/>
          <w:szCs w:val="24"/>
        </w:rPr>
        <w:tab/>
        <w:t>Rosyad YS, Khoeriyah SM, Subantara DO. Assessment of Happiness Levels Through Health Screening Among Second-Semester Students of the Nursing Science Program: Skrining Kesehatan Tingkat Kebahagiaan pada Mahasiswa Semester II Program Studi Ilmu Keperawatan. Bhakti Sabha Nusant. 2025;4(1):62–71. [</w:t>
      </w:r>
      <w:hyperlink r:id="rId41" w:history="1">
        <w:r w:rsidRPr="00811EA2">
          <w:rPr>
            <w:rStyle w:val="Hyperlink"/>
            <w:rFonts w:ascii="Times New Roman" w:hAnsi="Times New Roman" w:cs="Times New Roman"/>
            <w:noProof/>
            <w:szCs w:val="24"/>
            <w:u w:val="none"/>
          </w:rPr>
          <w:t>View at Publisher</w:t>
        </w:r>
      </w:hyperlink>
      <w:r w:rsidRPr="00811EA2">
        <w:rPr>
          <w:rFonts w:ascii="Times New Roman" w:hAnsi="Times New Roman" w:cs="Times New Roman"/>
          <w:noProof/>
          <w:szCs w:val="24"/>
        </w:rPr>
        <w:t>] [</w:t>
      </w:r>
      <w:hyperlink r:id="rId42" w:history="1">
        <w:r w:rsidRPr="00811EA2">
          <w:rPr>
            <w:rStyle w:val="Hyperlink"/>
            <w:rFonts w:ascii="Times New Roman" w:hAnsi="Times New Roman" w:cs="Times New Roman"/>
            <w:noProof/>
            <w:szCs w:val="24"/>
            <w:u w:val="none"/>
          </w:rPr>
          <w:t>Google Scholar</w:t>
        </w:r>
      </w:hyperlink>
      <w:r w:rsidRPr="00811EA2">
        <w:rPr>
          <w:rFonts w:ascii="Times New Roman" w:hAnsi="Times New Roman" w:cs="Times New Roman"/>
          <w:noProof/>
          <w:szCs w:val="24"/>
        </w:rPr>
        <w:t>]</w:t>
      </w:r>
    </w:p>
    <w:p w14:paraId="3C063B06" w14:textId="77777777" w:rsidR="00D05796" w:rsidRPr="00811EA2" w:rsidRDefault="00D05796" w:rsidP="00D05796">
      <w:pPr>
        <w:widowControl w:val="0"/>
        <w:autoSpaceDE w:val="0"/>
        <w:autoSpaceDN w:val="0"/>
        <w:adjustRightInd w:val="0"/>
        <w:spacing w:after="0"/>
        <w:ind w:left="640" w:hanging="640"/>
        <w:jc w:val="both"/>
        <w:rPr>
          <w:rFonts w:ascii="Times New Roman" w:hAnsi="Times New Roman" w:cs="Times New Roman"/>
          <w:noProof/>
        </w:rPr>
      </w:pPr>
      <w:r w:rsidRPr="00811EA2">
        <w:rPr>
          <w:rFonts w:ascii="Times New Roman" w:hAnsi="Times New Roman" w:cs="Times New Roman"/>
          <w:noProof/>
          <w:szCs w:val="24"/>
        </w:rPr>
        <w:t>1</w:t>
      </w:r>
      <w:r w:rsidRPr="00811EA2">
        <w:rPr>
          <w:rFonts w:ascii="Times New Roman" w:hAnsi="Times New Roman" w:cs="Times New Roman"/>
          <w:noProof/>
          <w:szCs w:val="24"/>
          <w:lang w:val="en-US"/>
        </w:rPr>
        <w:t>5</w:t>
      </w:r>
      <w:r w:rsidRPr="00811EA2">
        <w:rPr>
          <w:rFonts w:ascii="Times New Roman" w:hAnsi="Times New Roman" w:cs="Times New Roman"/>
          <w:noProof/>
          <w:szCs w:val="24"/>
        </w:rPr>
        <w:t xml:space="preserve">. </w:t>
      </w:r>
      <w:r w:rsidRPr="00811EA2">
        <w:rPr>
          <w:rFonts w:ascii="Times New Roman" w:hAnsi="Times New Roman" w:cs="Times New Roman"/>
          <w:noProof/>
          <w:szCs w:val="24"/>
        </w:rPr>
        <w:tab/>
        <w:t>Ariani DD, Nugroho PA, Ghifari A, Amelia FC, Assari F, Amalia R, et al. Implementasi Manajemen Konseling Kesehatan Mental bagi Mahasiswa Institut Teknologi dan Kesehatan Muhammadiyah Kalimantan Barat: The Implementation of Mental Health Counseling Management for Undergraduate Students at Institut Teknologi and Kesehatan Muhammadiyah Kalimantan Barat. PengabdianMu J Ilm Pengabdi Kpd Masy. 2024;9(8):1515–22. [</w:t>
      </w:r>
      <w:hyperlink r:id="rId43" w:history="1">
        <w:r w:rsidRPr="00811EA2">
          <w:rPr>
            <w:rStyle w:val="Hyperlink"/>
            <w:rFonts w:ascii="Times New Roman" w:hAnsi="Times New Roman" w:cs="Times New Roman"/>
            <w:noProof/>
            <w:szCs w:val="24"/>
            <w:u w:val="none"/>
          </w:rPr>
          <w:t>View at Publisher</w:t>
        </w:r>
      </w:hyperlink>
      <w:r w:rsidRPr="00811EA2">
        <w:rPr>
          <w:rFonts w:ascii="Times New Roman" w:hAnsi="Times New Roman" w:cs="Times New Roman"/>
          <w:noProof/>
          <w:szCs w:val="24"/>
        </w:rPr>
        <w:t>] [</w:t>
      </w:r>
      <w:hyperlink r:id="rId44" w:history="1">
        <w:r w:rsidRPr="00811EA2">
          <w:rPr>
            <w:rStyle w:val="Hyperlink"/>
            <w:rFonts w:ascii="Times New Roman" w:hAnsi="Times New Roman" w:cs="Times New Roman"/>
            <w:noProof/>
            <w:szCs w:val="24"/>
            <w:u w:val="none"/>
          </w:rPr>
          <w:t>Google Scholar</w:t>
        </w:r>
      </w:hyperlink>
      <w:r w:rsidRPr="00811EA2">
        <w:rPr>
          <w:rFonts w:ascii="Times New Roman" w:hAnsi="Times New Roman" w:cs="Times New Roman"/>
          <w:noProof/>
          <w:szCs w:val="24"/>
        </w:rPr>
        <w:t>]</w:t>
      </w:r>
    </w:p>
    <w:p w14:paraId="56132C52" w14:textId="77777777" w:rsidR="00D05796" w:rsidRPr="00811EA2" w:rsidRDefault="00D05796" w:rsidP="00D05796">
      <w:r w:rsidRPr="00811EA2">
        <w:rPr>
          <w:b/>
          <w:bCs/>
        </w:rPr>
        <w:fldChar w:fldCharType="end"/>
      </w:r>
    </w:p>
    <w:p w14:paraId="670832EC" w14:textId="27CD2343" w:rsidR="00914630" w:rsidRDefault="00914630" w:rsidP="008C7510">
      <w:pPr>
        <w:spacing w:after="0"/>
        <w:ind w:firstLine="720"/>
        <w:jc w:val="both"/>
        <w:rPr>
          <w:rFonts w:ascii="Times New Roman" w:eastAsia="Times New Roman" w:hAnsi="Times New Roman" w:cs="Times New Roman"/>
        </w:rPr>
      </w:pPr>
    </w:p>
    <w:sectPr w:rsidR="00914630" w:rsidSect="001A72C3">
      <w:type w:val="continuous"/>
      <w:pgSz w:w="11907" w:h="16839"/>
      <w:pgMar w:top="1440" w:right="1134" w:bottom="1440" w:left="1134" w:header="283" w:footer="850" w:gutter="0"/>
      <w:cols w:num="2" w:space="720" w:equalWidth="0">
        <w:col w:w="4459" w:space="720"/>
        <w:col w:w="4459" w:space="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49610" w14:textId="77777777" w:rsidR="009319D4" w:rsidRDefault="009319D4">
      <w:pPr>
        <w:spacing w:after="0" w:line="240" w:lineRule="auto"/>
      </w:pPr>
      <w:r>
        <w:separator/>
      </w:r>
    </w:p>
  </w:endnote>
  <w:endnote w:type="continuationSeparator" w:id="0">
    <w:p w14:paraId="2E4414AB" w14:textId="77777777" w:rsidR="009319D4" w:rsidRDefault="00931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Quattrocento Sans">
    <w:altName w:val="Quattrocento Sans"/>
    <w:charset w:val="00"/>
    <w:family w:val="swiss"/>
    <w:pitch w:val="variable"/>
    <w:sig w:usb0="800000BF" w:usb1="4000005B" w:usb2="00000000" w:usb3="00000000" w:csb0="00000001" w:csb1="00000000"/>
  </w:font>
  <w:font w:name="Libre Baskerville">
    <w:altName w:val="Libre Baskerville"/>
    <w:charset w:val="00"/>
    <w:family w:val="auto"/>
    <w:pitch w:val="variable"/>
    <w:sig w:usb0="A00000BF" w:usb1="50000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C83DE" w14:textId="77777777" w:rsidR="009B1347" w:rsidRDefault="009B1347">
    <w:pPr>
      <w:widowControl w:val="0"/>
      <w:pBdr>
        <w:top w:val="nil"/>
        <w:left w:val="nil"/>
        <w:bottom w:val="nil"/>
        <w:right w:val="nil"/>
        <w:between w:val="nil"/>
      </w:pBdr>
      <w:spacing w:after="0"/>
      <w:rPr>
        <w:color w:val="000000"/>
      </w:rPr>
    </w:pPr>
  </w:p>
  <w:tbl>
    <w:tblPr>
      <w:tblStyle w:val="1"/>
      <w:tblW w:w="985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927"/>
      <w:gridCol w:w="4928"/>
    </w:tblGrid>
    <w:tr w:rsidR="009B1347" w14:paraId="66F38B93" w14:textId="77777777">
      <w:tc>
        <w:tcPr>
          <w:tcW w:w="4927" w:type="dxa"/>
          <w:vAlign w:val="center"/>
        </w:tcPr>
        <w:p w14:paraId="6F048C19" w14:textId="667B21E9" w:rsidR="009B1347" w:rsidRDefault="009B1347" w:rsidP="00EE22AE">
          <w:pPr>
            <w:pBdr>
              <w:top w:val="nil"/>
              <w:left w:val="nil"/>
              <w:bottom w:val="nil"/>
              <w:right w:val="nil"/>
              <w:between w:val="nil"/>
            </w:pBdr>
            <w:tabs>
              <w:tab w:val="center" w:pos="4680"/>
              <w:tab w:val="right" w:pos="9360"/>
            </w:tabs>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Meambo, Vol </w:t>
          </w:r>
          <w:r w:rsidR="00EE22AE">
            <w:rPr>
              <w:rFonts w:ascii="Times New Roman" w:eastAsia="Times New Roman" w:hAnsi="Times New Roman" w:cs="Times New Roman"/>
              <w:color w:val="FF0000"/>
              <w:sz w:val="18"/>
              <w:szCs w:val="18"/>
              <w:lang w:val="en-US"/>
            </w:rPr>
            <w:t>5</w:t>
          </w:r>
          <w:r>
            <w:rPr>
              <w:rFonts w:ascii="Times New Roman" w:eastAsia="Times New Roman" w:hAnsi="Times New Roman" w:cs="Times New Roman"/>
              <w:color w:val="FF0000"/>
              <w:sz w:val="18"/>
              <w:szCs w:val="18"/>
            </w:rPr>
            <w:t xml:space="preserve">, No </w:t>
          </w:r>
          <w:r w:rsidR="00D05796">
            <w:rPr>
              <w:rFonts w:ascii="Times New Roman" w:eastAsia="Times New Roman" w:hAnsi="Times New Roman" w:cs="Times New Roman"/>
              <w:color w:val="FF0000"/>
              <w:sz w:val="18"/>
              <w:szCs w:val="18"/>
              <w:lang w:val="en-US"/>
            </w:rPr>
            <w:t>2</w:t>
          </w:r>
          <w:r>
            <w:rPr>
              <w:rFonts w:ascii="Times New Roman" w:eastAsia="Times New Roman" w:hAnsi="Times New Roman" w:cs="Times New Roman"/>
              <w:color w:val="FF0000"/>
              <w:sz w:val="18"/>
              <w:szCs w:val="18"/>
            </w:rPr>
            <w:t xml:space="preserve">, </w:t>
          </w:r>
          <w:r w:rsidR="00EE22AE">
            <w:rPr>
              <w:rFonts w:ascii="Times New Roman" w:eastAsia="Times New Roman" w:hAnsi="Times New Roman" w:cs="Times New Roman"/>
              <w:color w:val="FF0000"/>
              <w:sz w:val="18"/>
              <w:szCs w:val="18"/>
              <w:lang w:val="en-US"/>
            </w:rPr>
            <w:t>J</w:t>
          </w:r>
          <w:r w:rsidR="00D05796">
            <w:rPr>
              <w:rFonts w:ascii="Times New Roman" w:eastAsia="Times New Roman" w:hAnsi="Times New Roman" w:cs="Times New Roman"/>
              <w:color w:val="FF0000"/>
              <w:sz w:val="18"/>
              <w:szCs w:val="18"/>
              <w:lang w:val="en-US"/>
            </w:rPr>
            <w:t xml:space="preserve">uli – Desember </w:t>
          </w:r>
          <w:r w:rsidR="00EE22AE">
            <w:rPr>
              <w:rFonts w:ascii="Times New Roman" w:eastAsia="Times New Roman" w:hAnsi="Times New Roman" w:cs="Times New Roman"/>
              <w:color w:val="FF0000"/>
              <w:sz w:val="18"/>
              <w:szCs w:val="18"/>
              <w:lang w:val="en-US"/>
            </w:rPr>
            <w:t>2026</w:t>
          </w:r>
        </w:p>
      </w:tc>
      <w:tc>
        <w:tcPr>
          <w:tcW w:w="4928" w:type="dxa"/>
        </w:tcPr>
        <w:p w14:paraId="1C7F9E95" w14:textId="77777777" w:rsidR="009B1347" w:rsidRDefault="009B1347">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sz w:val="18"/>
              <w:szCs w:val="18"/>
            </w:rPr>
          </w:pPr>
        </w:p>
      </w:tc>
    </w:tr>
  </w:tbl>
  <w:p w14:paraId="283E7140" w14:textId="77777777" w:rsidR="009B1347" w:rsidRDefault="009B134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60682" w14:textId="77777777" w:rsidR="009319D4" w:rsidRDefault="009319D4">
      <w:pPr>
        <w:spacing w:after="0" w:line="240" w:lineRule="auto"/>
      </w:pPr>
      <w:r>
        <w:separator/>
      </w:r>
    </w:p>
  </w:footnote>
  <w:footnote w:type="continuationSeparator" w:id="0">
    <w:p w14:paraId="29E07015" w14:textId="77777777" w:rsidR="009319D4" w:rsidRDefault="00931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A5AB" w14:textId="77777777" w:rsidR="009B1347" w:rsidRDefault="009B1347" w:rsidP="004E7D8B">
    <w:pPr>
      <w:pBdr>
        <w:top w:val="nil"/>
        <w:left w:val="nil"/>
        <w:bottom w:val="nil"/>
        <w:right w:val="nil"/>
        <w:between w:val="nil"/>
      </w:pBdr>
      <w:tabs>
        <w:tab w:val="center" w:pos="4680"/>
        <w:tab w:val="right" w:pos="9360"/>
      </w:tabs>
      <w:spacing w:after="0" w:line="240" w:lineRule="auto"/>
      <w:jc w:val="right"/>
      <w:rPr>
        <w:color w:val="000000"/>
      </w:rPr>
    </w:pPr>
    <w:r>
      <w:rPr>
        <w:color w:val="000000"/>
      </w:rPr>
      <w:tab/>
    </w:r>
    <w:r>
      <w:rPr>
        <w:color w:val="000000"/>
      </w:rPr>
      <w:tab/>
    </w:r>
  </w:p>
  <w:tbl>
    <w:tblPr>
      <w:tblW w:w="5636" w:type="dxa"/>
      <w:tblInd w:w="4219" w:type="dxa"/>
      <w:tblBorders>
        <w:top w:val="nil"/>
        <w:left w:val="nil"/>
        <w:bottom w:val="nil"/>
        <w:right w:val="nil"/>
        <w:insideH w:val="single" w:sz="4" w:space="0" w:color="000000"/>
        <w:insideV w:val="single" w:sz="12" w:space="0" w:color="000000"/>
      </w:tblBorders>
      <w:tblLayout w:type="fixed"/>
      <w:tblLook w:val="0400" w:firstRow="0" w:lastRow="0" w:firstColumn="0" w:lastColumn="0" w:noHBand="0" w:noVBand="1"/>
    </w:tblPr>
    <w:tblGrid>
      <w:gridCol w:w="4428"/>
      <w:gridCol w:w="1208"/>
    </w:tblGrid>
    <w:tr w:rsidR="00342413" w14:paraId="4C098224" w14:textId="77777777" w:rsidTr="00C86FF8">
      <w:tc>
        <w:tcPr>
          <w:tcW w:w="4428" w:type="dxa"/>
          <w:vAlign w:val="center"/>
        </w:tcPr>
        <w:p w14:paraId="128F1F06" w14:textId="34152866" w:rsidR="00342413" w:rsidRDefault="006B6375" w:rsidP="00342413">
          <w:pPr>
            <w:pBdr>
              <w:top w:val="nil"/>
              <w:left w:val="nil"/>
              <w:bottom w:val="nil"/>
              <w:right w:val="nil"/>
              <w:between w:val="nil"/>
            </w:pBdr>
            <w:tabs>
              <w:tab w:val="center" w:pos="4680"/>
              <w:tab w:val="right" w:pos="9360"/>
            </w:tabs>
            <w:spacing w:after="0"/>
            <w:jc w:val="right"/>
            <w:rPr>
              <w:color w:val="000000"/>
              <w:sz w:val="12"/>
              <w:szCs w:val="12"/>
            </w:rPr>
          </w:pPr>
          <w:r w:rsidRPr="006B6375">
            <w:rPr>
              <w:color w:val="000000"/>
              <w:sz w:val="12"/>
              <w:szCs w:val="12"/>
              <w:lang w:val="en-US"/>
            </w:rPr>
            <w:t>Oklan B.T Liunokas</w:t>
          </w:r>
          <w:r w:rsidR="00342413">
            <w:rPr>
              <w:color w:val="000000"/>
              <w:sz w:val="12"/>
              <w:szCs w:val="12"/>
            </w:rPr>
            <w:t xml:space="preserve">, </w:t>
          </w:r>
          <w:r w:rsidR="00342413">
            <w:rPr>
              <w:i/>
              <w:color w:val="000000"/>
              <w:sz w:val="12"/>
              <w:szCs w:val="12"/>
            </w:rPr>
            <w:t>et al</w:t>
          </w:r>
        </w:p>
        <w:p w14:paraId="17A5E294" w14:textId="7D95BEE5" w:rsidR="00342413" w:rsidRDefault="006B6375" w:rsidP="00342413">
          <w:pPr>
            <w:pBdr>
              <w:top w:val="nil"/>
              <w:left w:val="nil"/>
              <w:bottom w:val="nil"/>
              <w:right w:val="nil"/>
              <w:between w:val="nil"/>
            </w:pBdr>
            <w:tabs>
              <w:tab w:val="center" w:pos="4680"/>
              <w:tab w:val="right" w:pos="9360"/>
            </w:tabs>
            <w:spacing w:after="0"/>
            <w:jc w:val="right"/>
            <w:rPr>
              <w:color w:val="000000"/>
            </w:rPr>
          </w:pPr>
          <w:r w:rsidRPr="006B6375">
            <w:rPr>
              <w:color w:val="000000"/>
              <w:sz w:val="12"/>
              <w:szCs w:val="12"/>
              <w:lang w:val="en-US"/>
            </w:rPr>
            <w:t>Penerapan Pemeriksaan Kesehatan Dasar</w:t>
          </w:r>
        </w:p>
      </w:tc>
      <w:tc>
        <w:tcPr>
          <w:tcW w:w="1208" w:type="dxa"/>
          <w:shd w:val="clear" w:color="auto" w:fill="BFBFBF"/>
          <w:vAlign w:val="center"/>
        </w:tcPr>
        <w:p w14:paraId="51F2007C" w14:textId="77777777" w:rsidR="00342413" w:rsidRDefault="00342413" w:rsidP="00342413">
          <w:pPr>
            <w:pBdr>
              <w:top w:val="nil"/>
              <w:left w:val="nil"/>
              <w:bottom w:val="nil"/>
              <w:right w:val="nil"/>
              <w:between w:val="nil"/>
            </w:pBdr>
            <w:tabs>
              <w:tab w:val="center" w:pos="4680"/>
              <w:tab w:val="right" w:pos="9360"/>
            </w:tabs>
            <w:spacing w:after="0"/>
            <w:jc w:val="center"/>
            <w:rPr>
              <w:rFonts w:ascii="Libre Baskerville" w:eastAsia="Libre Baskerville" w:hAnsi="Libre Baskerville" w:cs="Libre Baskerville"/>
              <w:b/>
              <w:color w:val="000000"/>
            </w:rPr>
          </w:pPr>
          <w:r>
            <w:rPr>
              <w:rFonts w:ascii="Libre Baskerville" w:eastAsia="Libre Baskerville" w:hAnsi="Libre Baskerville" w:cs="Libre Baskerville"/>
              <w:b/>
              <w:color w:val="000000"/>
              <w:sz w:val="52"/>
              <w:szCs w:val="52"/>
            </w:rPr>
            <w:fldChar w:fldCharType="begin"/>
          </w:r>
          <w:r>
            <w:rPr>
              <w:rFonts w:ascii="Libre Baskerville" w:eastAsia="Libre Baskerville" w:hAnsi="Libre Baskerville" w:cs="Libre Baskerville"/>
              <w:b/>
              <w:color w:val="000000"/>
              <w:sz w:val="52"/>
              <w:szCs w:val="52"/>
            </w:rPr>
            <w:instrText>PAGE</w:instrText>
          </w:r>
          <w:r>
            <w:rPr>
              <w:rFonts w:ascii="Libre Baskerville" w:eastAsia="Libre Baskerville" w:hAnsi="Libre Baskerville" w:cs="Libre Baskerville"/>
              <w:b/>
              <w:color w:val="000000"/>
              <w:sz w:val="52"/>
              <w:szCs w:val="52"/>
            </w:rPr>
            <w:fldChar w:fldCharType="separate"/>
          </w:r>
          <w:r>
            <w:rPr>
              <w:rFonts w:ascii="Libre Baskerville" w:eastAsia="Libre Baskerville" w:hAnsi="Libre Baskerville" w:cs="Libre Baskerville"/>
              <w:b/>
              <w:noProof/>
              <w:color w:val="000000"/>
              <w:sz w:val="52"/>
              <w:szCs w:val="52"/>
            </w:rPr>
            <w:t>2</w:t>
          </w:r>
          <w:r>
            <w:rPr>
              <w:rFonts w:ascii="Libre Baskerville" w:eastAsia="Libre Baskerville" w:hAnsi="Libre Baskerville" w:cs="Libre Baskerville"/>
              <w:b/>
              <w:color w:val="000000"/>
              <w:sz w:val="52"/>
              <w:szCs w:val="52"/>
            </w:rPr>
            <w:fldChar w:fldCharType="end"/>
          </w:r>
        </w:p>
      </w:tc>
    </w:tr>
  </w:tbl>
  <w:p w14:paraId="4185C785" w14:textId="77777777" w:rsidR="009B1347" w:rsidRDefault="009B1347" w:rsidP="001A72C3">
    <w:pPr>
      <w:pBdr>
        <w:top w:val="nil"/>
        <w:left w:val="nil"/>
        <w:bottom w:val="nil"/>
        <w:right w:val="nil"/>
        <w:between w:val="nil"/>
      </w:pBdr>
      <w:tabs>
        <w:tab w:val="center" w:pos="4680"/>
        <w:tab w:val="right" w:pos="9360"/>
      </w:tabs>
      <w:spacing w:after="0" w:line="240" w:lineRule="auto"/>
      <w:jc w:val="right"/>
      <w:rPr>
        <w:color w:val="000000"/>
      </w:rPr>
    </w:pPr>
    <w:r>
      <w:rPr>
        <w:noProof/>
      </w:rPr>
      <mc:AlternateContent>
        <mc:Choice Requires="wps">
          <w:drawing>
            <wp:anchor distT="0" distB="0" distL="114300" distR="114300" simplePos="0" relativeHeight="251659264" behindDoc="0" locked="0" layoutInCell="1" hidden="0" allowOverlap="1" wp14:anchorId="01524636" wp14:editId="4C5C23F6">
              <wp:simplePos x="0" y="0"/>
              <wp:positionH relativeFrom="column">
                <wp:posOffset>-69848</wp:posOffset>
              </wp:positionH>
              <wp:positionV relativeFrom="paragraph">
                <wp:posOffset>0</wp:posOffset>
              </wp:positionV>
              <wp:extent cx="12700" cy="12700"/>
              <wp:effectExtent l="0" t="0" r="0" b="0"/>
              <wp:wrapNone/>
              <wp:docPr id="1" name="Straight Arrow Connector 1"/>
              <wp:cNvGraphicFramePr/>
              <a:graphic xmlns:a="http://schemas.openxmlformats.org/drawingml/2006/main">
                <a:graphicData uri="http://schemas.microsoft.com/office/word/2010/wordprocessingShape">
                  <wps:wsp>
                    <wps:cNvCnPr/>
                    <wps:spPr>
                      <a:xfrm rot="10800000">
                        <a:off x="2216085" y="3780000"/>
                        <a:ext cx="625983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w16du="http://schemas.microsoft.com/office/word/2023/wordml/word16du" xmlns:w16sdtfl="http://schemas.microsoft.com/office/word/2024/wordml/sdtformatlock">
          <w:pict>
            <v:shapetype w14:anchorId="087B1304" id="_x0000_t32" coordsize="21600,21600" o:spt="32" o:oned="t" path="m,l21600,21600e" filled="f">
              <v:path arrowok="t" fillok="f" o:connecttype="none"/>
              <o:lock v:ext="edit" shapetype="t"/>
            </v:shapetype>
            <v:shape id="Straight Arrow Connector 1" o:spid="_x0000_s1026" type="#_x0000_t32" style="position:absolute;margin-left:-5.5pt;margin-top:0;width:1pt;height:1pt;rotation:18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">
              <v:stroke startarrowwidth="narrow" startarrowlength="short" endarrowwidth="narrow" endarrowlength="shor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EA6683"/>
    <w:multiLevelType w:val="hybridMultilevel"/>
    <w:tmpl w:val="F04C4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964BCE"/>
    <w:multiLevelType w:val="hybridMultilevel"/>
    <w:tmpl w:val="E49014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07B6870"/>
    <w:multiLevelType w:val="hybridMultilevel"/>
    <w:tmpl w:val="E9781FD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70B53201"/>
    <w:multiLevelType w:val="multilevel"/>
    <w:tmpl w:val="220EF2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20676B"/>
    <w:multiLevelType w:val="multilevel"/>
    <w:tmpl w:val="962237A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120056202">
    <w:abstractNumId w:val="2"/>
  </w:num>
  <w:num w:numId="2" w16cid:durableId="1054933511">
    <w:abstractNumId w:val="3"/>
  </w:num>
  <w:num w:numId="3" w16cid:durableId="1688482629">
    <w:abstractNumId w:val="1"/>
  </w:num>
  <w:num w:numId="4" w16cid:durableId="784233259">
    <w:abstractNumId w:val="0"/>
  </w:num>
  <w:num w:numId="5" w16cid:durableId="1444692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347"/>
    <w:rsid w:val="0001289F"/>
    <w:rsid w:val="0001622B"/>
    <w:rsid w:val="0002107A"/>
    <w:rsid w:val="000323EC"/>
    <w:rsid w:val="00054345"/>
    <w:rsid w:val="00067603"/>
    <w:rsid w:val="00090090"/>
    <w:rsid w:val="000B1D7A"/>
    <w:rsid w:val="000B25D5"/>
    <w:rsid w:val="000B5222"/>
    <w:rsid w:val="000F4621"/>
    <w:rsid w:val="000F52E2"/>
    <w:rsid w:val="0012543D"/>
    <w:rsid w:val="00130A33"/>
    <w:rsid w:val="00156EE8"/>
    <w:rsid w:val="001913B4"/>
    <w:rsid w:val="00197748"/>
    <w:rsid w:val="001A72C3"/>
    <w:rsid w:val="001E1F7D"/>
    <w:rsid w:val="001E7226"/>
    <w:rsid w:val="001F4142"/>
    <w:rsid w:val="001F7359"/>
    <w:rsid w:val="00227D47"/>
    <w:rsid w:val="002414AF"/>
    <w:rsid w:val="00273358"/>
    <w:rsid w:val="00292E56"/>
    <w:rsid w:val="00297316"/>
    <w:rsid w:val="002A5A22"/>
    <w:rsid w:val="002C4693"/>
    <w:rsid w:val="002F7CC7"/>
    <w:rsid w:val="003036DE"/>
    <w:rsid w:val="00340FE5"/>
    <w:rsid w:val="00342413"/>
    <w:rsid w:val="003505CC"/>
    <w:rsid w:val="003516A9"/>
    <w:rsid w:val="00357A05"/>
    <w:rsid w:val="00395218"/>
    <w:rsid w:val="003C59EC"/>
    <w:rsid w:val="00441B1F"/>
    <w:rsid w:val="00442110"/>
    <w:rsid w:val="00466FC5"/>
    <w:rsid w:val="00480A0E"/>
    <w:rsid w:val="0048651C"/>
    <w:rsid w:val="00496457"/>
    <w:rsid w:val="004C2C44"/>
    <w:rsid w:val="004D0DC1"/>
    <w:rsid w:val="004D3C88"/>
    <w:rsid w:val="004E7D8B"/>
    <w:rsid w:val="00504949"/>
    <w:rsid w:val="0051342A"/>
    <w:rsid w:val="005202E5"/>
    <w:rsid w:val="005355BC"/>
    <w:rsid w:val="00537D19"/>
    <w:rsid w:val="00565C75"/>
    <w:rsid w:val="00574DDC"/>
    <w:rsid w:val="00586B2D"/>
    <w:rsid w:val="00592A63"/>
    <w:rsid w:val="00593A6D"/>
    <w:rsid w:val="005B3F59"/>
    <w:rsid w:val="005C7723"/>
    <w:rsid w:val="005F1696"/>
    <w:rsid w:val="005F3C88"/>
    <w:rsid w:val="005F4536"/>
    <w:rsid w:val="006224CC"/>
    <w:rsid w:val="006241E4"/>
    <w:rsid w:val="00631804"/>
    <w:rsid w:val="00641BB1"/>
    <w:rsid w:val="006A3572"/>
    <w:rsid w:val="006B6375"/>
    <w:rsid w:val="006E3FD4"/>
    <w:rsid w:val="006E437B"/>
    <w:rsid w:val="006E79B2"/>
    <w:rsid w:val="006F19D5"/>
    <w:rsid w:val="006F3D9D"/>
    <w:rsid w:val="00731699"/>
    <w:rsid w:val="00733D74"/>
    <w:rsid w:val="00751F01"/>
    <w:rsid w:val="00755BD7"/>
    <w:rsid w:val="00763A51"/>
    <w:rsid w:val="00774F39"/>
    <w:rsid w:val="007822DB"/>
    <w:rsid w:val="007C466A"/>
    <w:rsid w:val="007D098F"/>
    <w:rsid w:val="00802B5A"/>
    <w:rsid w:val="00811EA2"/>
    <w:rsid w:val="0081587A"/>
    <w:rsid w:val="008303D5"/>
    <w:rsid w:val="00835DB8"/>
    <w:rsid w:val="008718A7"/>
    <w:rsid w:val="00875E1D"/>
    <w:rsid w:val="00891B0D"/>
    <w:rsid w:val="008B7405"/>
    <w:rsid w:val="008C7510"/>
    <w:rsid w:val="008D307D"/>
    <w:rsid w:val="008D6EA7"/>
    <w:rsid w:val="008E2D19"/>
    <w:rsid w:val="00914630"/>
    <w:rsid w:val="009319D4"/>
    <w:rsid w:val="00941F38"/>
    <w:rsid w:val="009506CA"/>
    <w:rsid w:val="009517C0"/>
    <w:rsid w:val="00962CAD"/>
    <w:rsid w:val="0099005A"/>
    <w:rsid w:val="00994798"/>
    <w:rsid w:val="00994B78"/>
    <w:rsid w:val="009A2AA0"/>
    <w:rsid w:val="009B1347"/>
    <w:rsid w:val="009B51B1"/>
    <w:rsid w:val="009B74BC"/>
    <w:rsid w:val="009D07AA"/>
    <w:rsid w:val="00A07A35"/>
    <w:rsid w:val="00A164A2"/>
    <w:rsid w:val="00A3365B"/>
    <w:rsid w:val="00A36F13"/>
    <w:rsid w:val="00A70A70"/>
    <w:rsid w:val="00AB72F2"/>
    <w:rsid w:val="00B05D9B"/>
    <w:rsid w:val="00B22965"/>
    <w:rsid w:val="00B42B05"/>
    <w:rsid w:val="00B82D4F"/>
    <w:rsid w:val="00B96D14"/>
    <w:rsid w:val="00BA5419"/>
    <w:rsid w:val="00BC034A"/>
    <w:rsid w:val="00BD33DA"/>
    <w:rsid w:val="00BF4DA1"/>
    <w:rsid w:val="00C102E9"/>
    <w:rsid w:val="00C35D85"/>
    <w:rsid w:val="00C4222F"/>
    <w:rsid w:val="00C55943"/>
    <w:rsid w:val="00C86FF8"/>
    <w:rsid w:val="00C96D5B"/>
    <w:rsid w:val="00CA6114"/>
    <w:rsid w:val="00CA7049"/>
    <w:rsid w:val="00CA7430"/>
    <w:rsid w:val="00CB0E9C"/>
    <w:rsid w:val="00CB25B3"/>
    <w:rsid w:val="00CC1365"/>
    <w:rsid w:val="00CE1EE0"/>
    <w:rsid w:val="00CE5B3F"/>
    <w:rsid w:val="00CE6E14"/>
    <w:rsid w:val="00CF4D60"/>
    <w:rsid w:val="00D05796"/>
    <w:rsid w:val="00D24F43"/>
    <w:rsid w:val="00D33595"/>
    <w:rsid w:val="00D65978"/>
    <w:rsid w:val="00D84FCD"/>
    <w:rsid w:val="00DB3E86"/>
    <w:rsid w:val="00DF04E1"/>
    <w:rsid w:val="00E113CB"/>
    <w:rsid w:val="00E26E0D"/>
    <w:rsid w:val="00E34A97"/>
    <w:rsid w:val="00E547F4"/>
    <w:rsid w:val="00E65912"/>
    <w:rsid w:val="00E83B06"/>
    <w:rsid w:val="00EA3490"/>
    <w:rsid w:val="00EB60E4"/>
    <w:rsid w:val="00EE22AE"/>
    <w:rsid w:val="00EF5920"/>
    <w:rsid w:val="00F16C48"/>
    <w:rsid w:val="00F30C8D"/>
    <w:rsid w:val="00F32409"/>
    <w:rsid w:val="00F44AFE"/>
    <w:rsid w:val="00F474D4"/>
    <w:rsid w:val="00F8539E"/>
    <w:rsid w:val="00FA0DB7"/>
    <w:rsid w:val="00FB4824"/>
    <w:rsid w:val="00FB5C2F"/>
    <w:rsid w:val="00FC6BD6"/>
    <w:rsid w:val="00FD682B"/>
    <w:rsid w:val="00FF7F8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E3A8D"/>
  <w15:chartTrackingRefBased/>
  <w15:docId w15:val="{3FA38D82-152A-4A74-AD39-CCB50A650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347"/>
    <w:pPr>
      <w:spacing w:after="200" w:line="276" w:lineRule="auto"/>
    </w:pPr>
    <w:rPr>
      <w:rFonts w:ascii="Calibri" w:eastAsia="Calibri" w:hAnsi="Calibri" w:cs="Calibri"/>
      <w:kern w:val="0"/>
      <w:lang w:val="id" w:eastAsia="en-ID"/>
      <w14:ligatures w14:val="none"/>
    </w:rPr>
  </w:style>
  <w:style w:type="paragraph" w:styleId="Heading1">
    <w:name w:val="heading 1"/>
    <w:basedOn w:val="Normal"/>
    <w:next w:val="Normal"/>
    <w:link w:val="Heading1Char"/>
    <w:uiPriority w:val="9"/>
    <w:qFormat/>
    <w:rsid w:val="009B13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13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13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13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13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13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13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13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13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3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13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13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13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13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13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13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13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1347"/>
    <w:rPr>
      <w:rFonts w:eastAsiaTheme="majorEastAsia" w:cstheme="majorBidi"/>
      <w:color w:val="272727" w:themeColor="text1" w:themeTint="D8"/>
    </w:rPr>
  </w:style>
  <w:style w:type="paragraph" w:styleId="Title">
    <w:name w:val="Title"/>
    <w:basedOn w:val="Normal"/>
    <w:next w:val="Normal"/>
    <w:link w:val="TitleChar"/>
    <w:uiPriority w:val="10"/>
    <w:qFormat/>
    <w:rsid w:val="009B13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3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13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13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1347"/>
    <w:pPr>
      <w:spacing w:before="160"/>
      <w:jc w:val="center"/>
    </w:pPr>
    <w:rPr>
      <w:i/>
      <w:iCs/>
      <w:color w:val="404040" w:themeColor="text1" w:themeTint="BF"/>
    </w:rPr>
  </w:style>
  <w:style w:type="character" w:customStyle="1" w:styleId="QuoteChar">
    <w:name w:val="Quote Char"/>
    <w:basedOn w:val="DefaultParagraphFont"/>
    <w:link w:val="Quote"/>
    <w:uiPriority w:val="29"/>
    <w:rsid w:val="009B1347"/>
    <w:rPr>
      <w:i/>
      <w:iCs/>
      <w:color w:val="404040" w:themeColor="text1" w:themeTint="BF"/>
    </w:rPr>
  </w:style>
  <w:style w:type="paragraph" w:styleId="ListParagraph">
    <w:name w:val="List Paragraph"/>
    <w:basedOn w:val="Normal"/>
    <w:link w:val="ListParagraphChar"/>
    <w:uiPriority w:val="34"/>
    <w:qFormat/>
    <w:rsid w:val="009B1347"/>
    <w:pPr>
      <w:ind w:left="720"/>
      <w:contextualSpacing/>
    </w:pPr>
  </w:style>
  <w:style w:type="character" w:styleId="IntenseEmphasis">
    <w:name w:val="Intense Emphasis"/>
    <w:basedOn w:val="DefaultParagraphFont"/>
    <w:uiPriority w:val="21"/>
    <w:qFormat/>
    <w:rsid w:val="009B1347"/>
    <w:rPr>
      <w:i/>
      <w:iCs/>
      <w:color w:val="2F5496" w:themeColor="accent1" w:themeShade="BF"/>
    </w:rPr>
  </w:style>
  <w:style w:type="paragraph" w:styleId="IntenseQuote">
    <w:name w:val="Intense Quote"/>
    <w:basedOn w:val="Normal"/>
    <w:next w:val="Normal"/>
    <w:link w:val="IntenseQuoteChar"/>
    <w:uiPriority w:val="30"/>
    <w:qFormat/>
    <w:rsid w:val="009B13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1347"/>
    <w:rPr>
      <w:i/>
      <w:iCs/>
      <w:color w:val="2F5496" w:themeColor="accent1" w:themeShade="BF"/>
    </w:rPr>
  </w:style>
  <w:style w:type="character" w:styleId="IntenseReference">
    <w:name w:val="Intense Reference"/>
    <w:basedOn w:val="DefaultParagraphFont"/>
    <w:uiPriority w:val="32"/>
    <w:qFormat/>
    <w:rsid w:val="009B1347"/>
    <w:rPr>
      <w:b/>
      <w:bCs/>
      <w:smallCaps/>
      <w:color w:val="2F5496" w:themeColor="accent1" w:themeShade="BF"/>
      <w:spacing w:val="5"/>
    </w:rPr>
  </w:style>
  <w:style w:type="table" w:customStyle="1" w:styleId="11">
    <w:name w:val="11"/>
    <w:basedOn w:val="TableNormal"/>
    <w:rsid w:val="009B1347"/>
    <w:pPr>
      <w:spacing w:after="0" w:line="240" w:lineRule="auto"/>
    </w:pPr>
    <w:rPr>
      <w:rFonts w:ascii="Calibri" w:eastAsia="Calibri" w:hAnsi="Calibri" w:cs="Calibri"/>
      <w:kern w:val="0"/>
      <w:lang w:val="id" w:eastAsia="en-ID"/>
      <w14:ligatures w14:val="none"/>
    </w:rPr>
    <w:tblPr>
      <w:tblStyleRowBandSize w:val="1"/>
      <w:tblStyleColBandSize w:val="1"/>
      <w:tblInd w:w="0" w:type="nil"/>
    </w:tblPr>
  </w:style>
  <w:style w:type="table" w:customStyle="1" w:styleId="10">
    <w:name w:val="10"/>
    <w:basedOn w:val="TableNormal"/>
    <w:rsid w:val="009B1347"/>
    <w:pPr>
      <w:spacing w:after="0" w:line="240" w:lineRule="auto"/>
    </w:pPr>
    <w:rPr>
      <w:rFonts w:ascii="Calibri" w:eastAsia="Calibri" w:hAnsi="Calibri" w:cs="Calibri"/>
      <w:kern w:val="0"/>
      <w:lang w:val="id" w:eastAsia="en-ID"/>
      <w14:ligatures w14:val="none"/>
    </w:rPr>
    <w:tblPr>
      <w:tblStyleRowBandSize w:val="1"/>
      <w:tblStyleColBandSize w:val="1"/>
      <w:tblInd w:w="0" w:type="nil"/>
    </w:tblPr>
  </w:style>
  <w:style w:type="table" w:customStyle="1" w:styleId="9">
    <w:name w:val="9"/>
    <w:basedOn w:val="TableNormal"/>
    <w:rsid w:val="009B1347"/>
    <w:pPr>
      <w:spacing w:after="0" w:line="240" w:lineRule="auto"/>
    </w:pPr>
    <w:rPr>
      <w:rFonts w:ascii="Calibri" w:eastAsia="Calibri" w:hAnsi="Calibri" w:cs="Calibri"/>
      <w:kern w:val="0"/>
      <w:lang w:val="id" w:eastAsia="en-ID"/>
      <w14:ligatures w14:val="none"/>
    </w:rPr>
    <w:tblPr>
      <w:tblStyleRowBandSize w:val="1"/>
      <w:tblStyleColBandSize w:val="1"/>
      <w:tblInd w:w="0" w:type="nil"/>
    </w:tblPr>
  </w:style>
  <w:style w:type="table" w:customStyle="1" w:styleId="8">
    <w:name w:val="8"/>
    <w:basedOn w:val="TableNormal"/>
    <w:rsid w:val="009B1347"/>
    <w:pPr>
      <w:spacing w:after="0" w:line="240" w:lineRule="auto"/>
    </w:pPr>
    <w:rPr>
      <w:rFonts w:ascii="Calibri" w:eastAsia="Calibri" w:hAnsi="Calibri" w:cs="Calibri"/>
      <w:kern w:val="0"/>
      <w:lang w:val="id" w:eastAsia="en-ID"/>
      <w14:ligatures w14:val="none"/>
    </w:rPr>
    <w:tblPr>
      <w:tblStyleRowBandSize w:val="1"/>
      <w:tblStyleColBandSize w:val="1"/>
      <w:tblInd w:w="0" w:type="nil"/>
    </w:tblPr>
  </w:style>
  <w:style w:type="table" w:customStyle="1" w:styleId="7">
    <w:name w:val="7"/>
    <w:basedOn w:val="TableNormal"/>
    <w:rsid w:val="009B1347"/>
    <w:pPr>
      <w:spacing w:after="0" w:line="240" w:lineRule="auto"/>
    </w:pPr>
    <w:rPr>
      <w:rFonts w:ascii="Calibri" w:eastAsia="Calibri" w:hAnsi="Calibri" w:cs="Calibri"/>
      <w:kern w:val="0"/>
      <w:lang w:val="id" w:eastAsia="en-ID"/>
      <w14:ligatures w14:val="none"/>
    </w:rPr>
    <w:tblPr>
      <w:tblStyleRowBandSize w:val="1"/>
      <w:tblStyleColBandSize w:val="1"/>
      <w:tblInd w:w="0" w:type="nil"/>
    </w:tblPr>
  </w:style>
  <w:style w:type="table" w:customStyle="1" w:styleId="6">
    <w:name w:val="6"/>
    <w:basedOn w:val="TableNormal"/>
    <w:rsid w:val="009B1347"/>
    <w:pPr>
      <w:spacing w:after="0" w:line="240" w:lineRule="auto"/>
    </w:pPr>
    <w:rPr>
      <w:rFonts w:ascii="Calibri" w:eastAsia="Calibri" w:hAnsi="Calibri" w:cs="Calibri"/>
      <w:kern w:val="0"/>
      <w:lang w:val="id" w:eastAsia="en-ID"/>
      <w14:ligatures w14:val="none"/>
    </w:rPr>
    <w:tblPr>
      <w:tblStyleRowBandSize w:val="1"/>
      <w:tblStyleColBandSize w:val="1"/>
      <w:tblInd w:w="0" w:type="nil"/>
    </w:tblPr>
  </w:style>
  <w:style w:type="table" w:customStyle="1" w:styleId="5">
    <w:name w:val="5"/>
    <w:basedOn w:val="TableNormal"/>
    <w:rsid w:val="009B1347"/>
    <w:pPr>
      <w:spacing w:after="0" w:line="240" w:lineRule="auto"/>
    </w:pPr>
    <w:rPr>
      <w:rFonts w:ascii="Calibri" w:eastAsia="Calibri" w:hAnsi="Calibri" w:cs="Calibri"/>
      <w:kern w:val="0"/>
      <w:lang w:val="id" w:eastAsia="en-ID"/>
      <w14:ligatures w14:val="none"/>
    </w:rPr>
    <w:tblPr>
      <w:tblStyleRowBandSize w:val="1"/>
      <w:tblStyleColBandSize w:val="1"/>
      <w:tblInd w:w="0" w:type="nil"/>
    </w:tblPr>
  </w:style>
  <w:style w:type="table" w:customStyle="1" w:styleId="4">
    <w:name w:val="4"/>
    <w:basedOn w:val="TableNormal"/>
    <w:rsid w:val="009B1347"/>
    <w:pPr>
      <w:spacing w:after="0" w:line="240" w:lineRule="auto"/>
    </w:pPr>
    <w:rPr>
      <w:rFonts w:ascii="Calibri" w:eastAsia="Calibri" w:hAnsi="Calibri" w:cs="Calibri"/>
      <w:kern w:val="0"/>
      <w:lang w:val="id" w:eastAsia="en-ID"/>
      <w14:ligatures w14:val="none"/>
    </w:rPr>
    <w:tblPr>
      <w:tblStyleRowBandSize w:val="1"/>
      <w:tblStyleColBandSize w:val="1"/>
      <w:tblInd w:w="0" w:type="nil"/>
    </w:tblPr>
  </w:style>
  <w:style w:type="table" w:customStyle="1" w:styleId="3">
    <w:name w:val="3"/>
    <w:basedOn w:val="TableNormal"/>
    <w:rsid w:val="009B1347"/>
    <w:pPr>
      <w:spacing w:after="0" w:line="240" w:lineRule="auto"/>
    </w:pPr>
    <w:rPr>
      <w:rFonts w:ascii="Calibri" w:eastAsia="Calibri" w:hAnsi="Calibri" w:cs="Calibri"/>
      <w:kern w:val="0"/>
      <w:lang w:val="id" w:eastAsia="en-ID"/>
      <w14:ligatures w14:val="none"/>
    </w:rPr>
    <w:tblPr>
      <w:tblStyleRowBandSize w:val="1"/>
      <w:tblStyleColBandSize w:val="1"/>
      <w:tblInd w:w="0" w:type="nil"/>
    </w:tblPr>
  </w:style>
  <w:style w:type="table" w:customStyle="1" w:styleId="2">
    <w:name w:val="2"/>
    <w:basedOn w:val="TableNormal"/>
    <w:rsid w:val="009B1347"/>
    <w:pPr>
      <w:spacing w:after="0" w:line="240" w:lineRule="auto"/>
    </w:pPr>
    <w:rPr>
      <w:rFonts w:ascii="Calibri" w:eastAsia="Calibri" w:hAnsi="Calibri" w:cs="Calibri"/>
      <w:kern w:val="0"/>
      <w:lang w:val="id" w:eastAsia="en-ID"/>
      <w14:ligatures w14:val="none"/>
    </w:rPr>
    <w:tblPr>
      <w:tblStyleRowBandSize w:val="1"/>
      <w:tblStyleColBandSize w:val="1"/>
      <w:tblInd w:w="0" w:type="nil"/>
    </w:tblPr>
  </w:style>
  <w:style w:type="table" w:customStyle="1" w:styleId="1">
    <w:name w:val="1"/>
    <w:basedOn w:val="TableNormal"/>
    <w:rsid w:val="009B1347"/>
    <w:pPr>
      <w:spacing w:after="0" w:line="240" w:lineRule="auto"/>
    </w:pPr>
    <w:rPr>
      <w:rFonts w:ascii="Calibri" w:eastAsia="Calibri" w:hAnsi="Calibri" w:cs="Calibri"/>
      <w:kern w:val="0"/>
      <w:lang w:val="id" w:eastAsia="en-ID"/>
      <w14:ligatures w14:val="none"/>
    </w:rPr>
    <w:tblPr>
      <w:tblStyleRowBandSize w:val="1"/>
      <w:tblStyleColBandSize w:val="1"/>
      <w:tblInd w:w="0" w:type="nil"/>
    </w:tblPr>
  </w:style>
  <w:style w:type="character" w:styleId="Hyperlink">
    <w:name w:val="Hyperlink"/>
    <w:basedOn w:val="DefaultParagraphFont"/>
    <w:uiPriority w:val="99"/>
    <w:unhideWhenUsed/>
    <w:rsid w:val="009B1347"/>
    <w:rPr>
      <w:color w:val="0563C1" w:themeColor="hyperlink"/>
      <w:u w:val="single"/>
    </w:rPr>
  </w:style>
  <w:style w:type="character" w:styleId="UnresolvedMention">
    <w:name w:val="Unresolved Mention"/>
    <w:basedOn w:val="DefaultParagraphFont"/>
    <w:uiPriority w:val="99"/>
    <w:semiHidden/>
    <w:unhideWhenUsed/>
    <w:rsid w:val="005F3C88"/>
    <w:rPr>
      <w:color w:val="605E5C"/>
      <w:shd w:val="clear" w:color="auto" w:fill="E1DFDD"/>
    </w:rPr>
  </w:style>
  <w:style w:type="character" w:styleId="CommentReference">
    <w:name w:val="annotation reference"/>
    <w:basedOn w:val="DefaultParagraphFont"/>
    <w:uiPriority w:val="99"/>
    <w:semiHidden/>
    <w:unhideWhenUsed/>
    <w:rsid w:val="00C35D85"/>
    <w:rPr>
      <w:sz w:val="16"/>
      <w:szCs w:val="16"/>
    </w:rPr>
  </w:style>
  <w:style w:type="paragraph" w:styleId="CommentText">
    <w:name w:val="annotation text"/>
    <w:basedOn w:val="Normal"/>
    <w:link w:val="CommentTextChar"/>
    <w:uiPriority w:val="99"/>
    <w:semiHidden/>
    <w:unhideWhenUsed/>
    <w:rsid w:val="00C35D85"/>
    <w:pPr>
      <w:spacing w:line="240" w:lineRule="auto"/>
    </w:pPr>
    <w:rPr>
      <w:sz w:val="20"/>
      <w:szCs w:val="20"/>
    </w:rPr>
  </w:style>
  <w:style w:type="character" w:customStyle="1" w:styleId="CommentTextChar">
    <w:name w:val="Comment Text Char"/>
    <w:basedOn w:val="DefaultParagraphFont"/>
    <w:link w:val="CommentText"/>
    <w:uiPriority w:val="99"/>
    <w:semiHidden/>
    <w:rsid w:val="00C35D85"/>
    <w:rPr>
      <w:rFonts w:ascii="Calibri" w:eastAsia="Calibri" w:hAnsi="Calibri" w:cs="Calibri"/>
      <w:kern w:val="0"/>
      <w:sz w:val="20"/>
      <w:szCs w:val="20"/>
      <w:lang w:val="id" w:eastAsia="en-ID"/>
      <w14:ligatures w14:val="none"/>
    </w:rPr>
  </w:style>
  <w:style w:type="paragraph" w:styleId="CommentSubject">
    <w:name w:val="annotation subject"/>
    <w:basedOn w:val="CommentText"/>
    <w:next w:val="CommentText"/>
    <w:link w:val="CommentSubjectChar"/>
    <w:uiPriority w:val="99"/>
    <w:semiHidden/>
    <w:unhideWhenUsed/>
    <w:rsid w:val="00C35D85"/>
    <w:rPr>
      <w:b/>
      <w:bCs/>
    </w:rPr>
  </w:style>
  <w:style w:type="character" w:customStyle="1" w:styleId="CommentSubjectChar">
    <w:name w:val="Comment Subject Char"/>
    <w:basedOn w:val="CommentTextChar"/>
    <w:link w:val="CommentSubject"/>
    <w:uiPriority w:val="99"/>
    <w:semiHidden/>
    <w:rsid w:val="00C35D85"/>
    <w:rPr>
      <w:rFonts w:ascii="Calibri" w:eastAsia="Calibri" w:hAnsi="Calibri" w:cs="Calibri"/>
      <w:b/>
      <w:bCs/>
      <w:kern w:val="0"/>
      <w:sz w:val="20"/>
      <w:szCs w:val="20"/>
      <w:lang w:val="id" w:eastAsia="en-ID"/>
      <w14:ligatures w14:val="none"/>
    </w:rPr>
  </w:style>
  <w:style w:type="paragraph" w:styleId="FootnoteText">
    <w:name w:val="footnote text"/>
    <w:basedOn w:val="Normal"/>
    <w:link w:val="FootnoteTextChar"/>
    <w:uiPriority w:val="99"/>
    <w:semiHidden/>
    <w:unhideWhenUsed/>
    <w:rsid w:val="00A07A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7A35"/>
    <w:rPr>
      <w:rFonts w:ascii="Calibri" w:eastAsia="Calibri" w:hAnsi="Calibri" w:cs="Calibri"/>
      <w:kern w:val="0"/>
      <w:sz w:val="20"/>
      <w:szCs w:val="20"/>
      <w:lang w:val="id" w:eastAsia="en-ID"/>
      <w14:ligatures w14:val="none"/>
    </w:rPr>
  </w:style>
  <w:style w:type="character" w:styleId="FootnoteReference">
    <w:name w:val="footnote reference"/>
    <w:basedOn w:val="DefaultParagraphFont"/>
    <w:uiPriority w:val="99"/>
    <w:semiHidden/>
    <w:unhideWhenUsed/>
    <w:rsid w:val="00A07A35"/>
    <w:rPr>
      <w:vertAlign w:val="superscript"/>
    </w:rPr>
  </w:style>
  <w:style w:type="table" w:styleId="TableGrid">
    <w:name w:val="Table Grid"/>
    <w:basedOn w:val="TableNormal"/>
    <w:uiPriority w:val="39"/>
    <w:rsid w:val="00631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0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C8D"/>
    <w:rPr>
      <w:rFonts w:ascii="Calibri" w:eastAsia="Calibri" w:hAnsi="Calibri" w:cs="Calibri"/>
      <w:kern w:val="0"/>
      <w:lang w:val="id" w:eastAsia="en-ID"/>
      <w14:ligatures w14:val="none"/>
    </w:rPr>
  </w:style>
  <w:style w:type="paragraph" w:styleId="Footer">
    <w:name w:val="footer"/>
    <w:basedOn w:val="Normal"/>
    <w:link w:val="FooterChar"/>
    <w:uiPriority w:val="99"/>
    <w:unhideWhenUsed/>
    <w:rsid w:val="00F30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C8D"/>
    <w:rPr>
      <w:rFonts w:ascii="Calibri" w:eastAsia="Calibri" w:hAnsi="Calibri" w:cs="Calibri"/>
      <w:kern w:val="0"/>
      <w:lang w:val="id" w:eastAsia="en-ID"/>
      <w14:ligatures w14:val="none"/>
    </w:rPr>
  </w:style>
  <w:style w:type="character" w:customStyle="1" w:styleId="ListParagraphChar">
    <w:name w:val="List Paragraph Char"/>
    <w:link w:val="ListParagraph"/>
    <w:uiPriority w:val="34"/>
    <w:rsid w:val="00914630"/>
    <w:rPr>
      <w:rFonts w:ascii="Calibri" w:eastAsia="Calibri" w:hAnsi="Calibri" w:cs="Calibri"/>
      <w:kern w:val="0"/>
      <w:lang w:val="id" w:eastAsia="en-ID"/>
      <w14:ligatures w14:val="none"/>
    </w:rPr>
  </w:style>
  <w:style w:type="paragraph" w:styleId="NormalWeb">
    <w:name w:val="Normal (Web)"/>
    <w:basedOn w:val="Normal"/>
    <w:uiPriority w:val="99"/>
    <w:unhideWhenUsed/>
    <w:rsid w:val="008C751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whitespace-normal">
    <w:name w:val="whitespace-normal"/>
    <w:basedOn w:val="DefaultParagraphFont"/>
    <w:rsid w:val="008C7510"/>
  </w:style>
  <w:style w:type="character" w:styleId="Strong">
    <w:name w:val="Strong"/>
    <w:basedOn w:val="DefaultParagraphFont"/>
    <w:uiPriority w:val="22"/>
    <w:qFormat/>
    <w:rsid w:val="00C102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86780">
      <w:bodyDiv w:val="1"/>
      <w:marLeft w:val="0"/>
      <w:marRight w:val="0"/>
      <w:marTop w:val="0"/>
      <w:marBottom w:val="0"/>
      <w:divBdr>
        <w:top w:val="none" w:sz="0" w:space="0" w:color="auto"/>
        <w:left w:val="none" w:sz="0" w:space="0" w:color="auto"/>
        <w:bottom w:val="none" w:sz="0" w:space="0" w:color="auto"/>
        <w:right w:val="none" w:sz="0" w:space="0" w:color="auto"/>
      </w:divBdr>
    </w:div>
    <w:div w:id="466430826">
      <w:bodyDiv w:val="1"/>
      <w:marLeft w:val="0"/>
      <w:marRight w:val="0"/>
      <w:marTop w:val="0"/>
      <w:marBottom w:val="0"/>
      <w:divBdr>
        <w:top w:val="none" w:sz="0" w:space="0" w:color="auto"/>
        <w:left w:val="none" w:sz="0" w:space="0" w:color="auto"/>
        <w:bottom w:val="none" w:sz="0" w:space="0" w:color="auto"/>
        <w:right w:val="none" w:sz="0" w:space="0" w:color="auto"/>
      </w:divBdr>
    </w:div>
    <w:div w:id="74731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scholar.google.com/scholar?hl=id&amp;as_sdt=0%2C5&amp;q=Deteksi+Dini+Faktor+Resiko+Remaja+Putri+Melalui+Pemeriksaan+Kesehatan+Sederhana+Sebagai+Implementasi+Interprofesional+Colaboration+%28IPC%29&amp;btnG=" TargetMode="External"/><Relationship Id="rId26" Type="http://schemas.openxmlformats.org/officeDocument/2006/relationships/hyperlink" Target="https://scholar.google.com/scholar?hl=id&amp;as_sdt=0%2C5&amp;q=Peningkatan+literasi+kesehatan+masyarakat+melalui+edukasi+dan+pemeriksaan+kesehatan+di+Kabupaten+Bandung&amp;btnG=" TargetMode="External"/><Relationship Id="rId39" Type="http://schemas.openxmlformats.org/officeDocument/2006/relationships/hyperlink" Target="https://bhinnekapublishing.com/ojsbp/index.php/Jpmb/article/view/373" TargetMode="External"/><Relationship Id="rId21" Type="http://schemas.openxmlformats.org/officeDocument/2006/relationships/hyperlink" Target="https://jurnal.samudrailmu.com/index.php/jupikmas/article/view/98" TargetMode="External"/><Relationship Id="rId34" Type="http://schemas.openxmlformats.org/officeDocument/2006/relationships/hyperlink" Target="https://scholar.google.com/scholar?hl=id&amp;as_sdt=0%2C5&amp;q=Inisiasi+mental+health+awareness+melalui+screening+dan+promosi+kesehatan+mental+pada+mahasiswa+Universitas+Sriwijaya&amp;btnG=" TargetMode="External"/><Relationship Id="rId42" Type="http://schemas.openxmlformats.org/officeDocument/2006/relationships/hyperlink" Target="https://scholar.google.com/scholar?hl=id&amp;as_sdt=0%2C5&amp;q=Assessment+of+Happiness+Levels+Through+Health+Screening+Among+Second-Semester+Students+of+the+Nursing+Science+Program&amp;btn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cholar.google.com/scholar?hl=id&amp;as_sdt=0%2C5&amp;q=Optimalisasi+peran+mahasiswa+dalam+peningkatan+kesehatan+masyarakat+melalui+program+cek+kesehatan+di+kampus+Universitas+Sunan+Giri+Surabaya&amp;btnG=" TargetMode="External"/><Relationship Id="rId29" Type="http://schemas.openxmlformats.org/officeDocument/2006/relationships/hyperlink" Target="https://media.neliti.com/media/publications/409856-pengabdian-masyarakat-melalui-pemeriksaa-65edce3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6742/jpm.v5i1." TargetMode="External"/><Relationship Id="rId24" Type="http://schemas.openxmlformats.org/officeDocument/2006/relationships/hyperlink" Target="https://scholar.google.com/scholar?hl=id&amp;as_sdt=0%2C5&amp;q=Pemeriksaan+Kesehatan+Gratis+di+SMAN+3+Pariaman%3A+Guru+Sehat%2C+Siswa+Cerdas&amp;btnG=" TargetMode="External"/><Relationship Id="rId32" Type="http://schemas.openxmlformats.org/officeDocument/2006/relationships/hyperlink" Target="https://scholar.google.com/scholar?hl=id&amp;as_sdt=0%2C5&amp;q=Pemeriksaan+Kesehatan+Gratis%3A+Poli+Umum%2C+THT%2C+Mata%2C+dan+Kandungan+oleh+Tim+Bantuan+Medis+Bumi+Gora+Fakultas+Kedokteran+dan+Ilmu+Kesehatan+Universitas+Mataram+di+Desa+Kuta%2C+Kecamatan+Pujut%2C+Kabupaten+Lombok+Tengah&amp;btnG=" TargetMode="External"/><Relationship Id="rId37" Type="http://schemas.openxmlformats.org/officeDocument/2006/relationships/hyperlink" Target="https://ejurnalmalahayati.ac.id/index.php/manuju/article/view/22778" TargetMode="External"/><Relationship Id="rId40" Type="http://schemas.openxmlformats.org/officeDocument/2006/relationships/hyperlink" Target="https://scholar.google.com/scholar?hl=id&amp;as_sdt=0%2C5&amp;q=Skrining+Kesehatan+Mental+Usia+Dewasa+Awal+Pada+Mahasiswa+Universitas+YPIB+Majalengka+Sebagai+Tindakan+Pencegahan+Gangguan+Mental&amp;btnG="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xam-jurnal.unsuri.ac.id/index.php/Exam/article/view/67" TargetMode="External"/><Relationship Id="rId23" Type="http://schemas.openxmlformats.org/officeDocument/2006/relationships/hyperlink" Target="https://bhinnekapublishing.com/ojsbp/index.php/Jpmb/article/view/1130" TargetMode="External"/><Relationship Id="rId28" Type="http://schemas.openxmlformats.org/officeDocument/2006/relationships/hyperlink" Target="https://scholar.google.com/scholar?hl=id&amp;as_sdt=0%2C5&amp;q=Implementasi+Pemeriksaan+Kesehatan+Gratis+Melalui+Bakti+Sosial+di+Swarangan&amp;btnG=" TargetMode="External"/><Relationship Id="rId36" Type="http://schemas.openxmlformats.org/officeDocument/2006/relationships/hyperlink" Target="https://scholar.google.com/scholar?hl=id&amp;as_sdt=0%2C5&amp;q=Screening+Gangguan+Kesehatan+Mental+Remaja+Menggunakan+Web+SICHI+Pada+Remaja+Di+Kota+Batam&amp;btnG=" TargetMode="External"/><Relationship Id="rId10" Type="http://schemas.openxmlformats.org/officeDocument/2006/relationships/hyperlink" Target="https://pengabmas.nchat.id" TargetMode="External"/><Relationship Id="rId19" Type="http://schemas.openxmlformats.org/officeDocument/2006/relationships/hyperlink" Target="http://jurnal.mifandimandiri.com/index.php/berbakti/article/view/649" TargetMode="External"/><Relationship Id="rId31" Type="http://schemas.openxmlformats.org/officeDocument/2006/relationships/hyperlink" Target="https://jppipa.unram.ac.id/index.php/jpmpi/article/view/7947" TargetMode="External"/><Relationship Id="rId44" Type="http://schemas.openxmlformats.org/officeDocument/2006/relationships/hyperlink" Target="https://scholar.google.com/scholar?hl=id&amp;as_sdt=0%2C5&amp;q=Implementasi+Manajemen+Konseling+Kesehatan+Mental+bagi+Mahasiswa+Institut+Teknologi+dan+Kesehatan+Muhammadiyah+Kalimantan&amp;bt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hyperlink" Target="https://scholar.google.com/scholar?hl=id&amp;as_sdt=0%2C5&amp;q=Pemeriksaan+Kesehatan+Dasar+Dan+Bakti+Sosial+Bagi+Masyarakat+Di+Wilayah+Petisah+Tengah+Medan&amp;btnG=" TargetMode="External"/><Relationship Id="rId27" Type="http://schemas.openxmlformats.org/officeDocument/2006/relationships/hyperlink" Target="https://journal.steipress.org/index.php/progresif/article/view/414" TargetMode="External"/><Relationship Id="rId30" Type="http://schemas.openxmlformats.org/officeDocument/2006/relationships/hyperlink" Target="https://scholar.google.com/scholar?hl=id&amp;as_sdt=0%2C5&amp;q=Pengabdian+Masyarakat+melalui+Pemeriksaan+Kesehatan+Gratis+GeNose+C19+pada+Santri+Pondok+Pesantren+Nurul+Khidmah+Surabaya&amp;btnG=" TargetMode="External"/><Relationship Id="rId35" Type="http://schemas.openxmlformats.org/officeDocument/2006/relationships/hyperlink" Target="https://bemj.akbidbunda.ac.id/BEMJ/article/view/239" TargetMode="External"/><Relationship Id="rId43" Type="http://schemas.openxmlformats.org/officeDocument/2006/relationships/hyperlink" Target="https://journal.umpr.ac.id/index.php/pengabdianmu/article/view/7471"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jurnal.kesehatan.cendikiajenius-ind.id/index.php/PengabmasKes/article/view/215" TargetMode="External"/><Relationship Id="rId25" Type="http://schemas.openxmlformats.org/officeDocument/2006/relationships/hyperlink" Target="https://jmedika.com/index.php/medika/article/view/194" TargetMode="External"/><Relationship Id="rId33" Type="http://schemas.openxmlformats.org/officeDocument/2006/relationships/hyperlink" Target="https://www.academia.edu/download/110897516/5641.pdf" TargetMode="External"/><Relationship Id="rId38" Type="http://schemas.openxmlformats.org/officeDocument/2006/relationships/hyperlink" Target="https://scholar.google.com/scholar?hl=id&amp;as_sdt=0%2C5&amp;q=Efektivitas+Pelatihan+Konselor+Sebaya+Terhadap+Keterampilan+Skrining+Masalah+Kesehatan+Mental+Pada+Mahasiswa+University+Residence+%28Unires%29&amp;btnG=" TargetMode="External"/><Relationship Id="rId46" Type="http://schemas.openxmlformats.org/officeDocument/2006/relationships/theme" Target="theme/theme1.xml"/><Relationship Id="rId20" Type="http://schemas.openxmlformats.org/officeDocument/2006/relationships/hyperlink" Target="https://scholar.google.com/scholar?q=Pendampingan+Kesehatan+Masyarakat+melalui+Pemeriksaan+Kesehatan+Dasar+dan+Edukasi+Gaya+Hidup+Sehat&amp;hl=id&amp;as_sdt=0,5" TargetMode="External"/><Relationship Id="rId41" Type="http://schemas.openxmlformats.org/officeDocument/2006/relationships/hyperlink" Target="https://e-journal.saku.co.id/index.php/BSN/article/view/3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0C55A68-2CED-48B0-9A90-B3870EB18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6989</Words>
  <Characters>39838</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OHS2021</dc:creator>
  <cp:keywords/>
  <dc:description/>
  <cp:lastModifiedBy>EDITOR</cp:lastModifiedBy>
  <cp:revision>10</cp:revision>
  <dcterms:created xsi:type="dcterms:W3CDTF">2026-06-19T23:09:00Z</dcterms:created>
  <dcterms:modified xsi:type="dcterms:W3CDTF">2026-06-20T05:37:00Z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d4610a34-c9e6-4ccf-9168-cd3a3b9bee93</vt:lpwstr>
  </property>
  <property fmtid="{D5CDD505-2E9C-101B-9397-08002B2CF9AE}" pid="3" name="Mendeley Recent Style Id 0_1">
    <vt:lpwstr>http://www.zotero.org/styles/apa</vt:lpwstr>
  </property>
  <property fmtid="{D5CDD505-2E9C-101B-9397-08002B2CF9AE}" pid="4" name="Mendeley Recent Style Name 0_1">
    <vt:lpwstr>American Psychological Association 7th edition</vt:lpwstr>
  </property>
  <property fmtid="{D5CDD505-2E9C-101B-9397-08002B2CF9AE}" pid="5" name="Mendeley Recent Style Id 1_1">
    <vt:lpwstr>http://www.zotero.org/styles/american-sociological-association</vt:lpwstr>
  </property>
  <property fmtid="{D5CDD505-2E9C-101B-9397-08002B2CF9AE}" pid="6" name="Mendeley Recent Style Name 1_1">
    <vt:lpwstr>American Sociological Association 6th/7th edition</vt:lpwstr>
  </property>
  <property fmtid="{D5CDD505-2E9C-101B-9397-08002B2CF9AE}" pid="7" name="Mendeley Recent Style Id 2_1">
    <vt:lpwstr>http://www.zotero.org/styles/chicago-author-date</vt:lpwstr>
  </property>
  <property fmtid="{D5CDD505-2E9C-101B-9397-08002B2CF9AE}" pid="8" name="Mendeley Recent Style Name 2_1">
    <vt:lpwstr>Chicago Manual of Style 17th edition (author-date)</vt:lpwstr>
  </property>
  <property fmtid="{D5CDD505-2E9C-101B-9397-08002B2CF9AE}" pid="9" name="Mendeley Recent Style Id 3_1">
    <vt:lpwstr>http://www.zotero.org/styles/harvard-cite-them-right</vt:lpwstr>
  </property>
  <property fmtid="{D5CDD505-2E9C-101B-9397-08002B2CF9AE}" pid="10" name="Mendeley Recent Style Name 3_1">
    <vt:lpwstr>Cite Them Right 12th edition - Harvard</vt:lpwstr>
  </property>
  <property fmtid="{D5CDD505-2E9C-101B-9397-08002B2CF9AE}" pid="11" name="Mendeley Recent Style Id 4_1">
    <vt:lpwstr>http://www.zotero.org/styles/ieee</vt:lpwstr>
  </property>
  <property fmtid="{D5CDD505-2E9C-101B-9397-08002B2CF9AE}" pid="12" name="Mendeley Recent Style Name 4_1">
    <vt:lpwstr>IEEE</vt:lpwstr>
  </property>
  <property fmtid="{D5CDD505-2E9C-101B-9397-08002B2CF9AE}" pid="13" name="Mendeley Recent Style Id 5_1">
    <vt:lpwstr>http://www.zotero.org/styles/nlm-citation-sequence-brackets</vt:lpwstr>
  </property>
  <property fmtid="{D5CDD505-2E9C-101B-9397-08002B2CF9AE}" pid="14" name="Mendeley Recent Style Name 5_1">
    <vt:lpwstr>NLM/Vancouver: Citing Medicine 2nd edition (citation-sequence, brackets)</vt:lpwstr>
  </property>
  <property fmtid="{D5CDD505-2E9C-101B-9397-08002B2CF9AE}" pid="15" name="Mendeley Recent Style Id 6_1">
    <vt:lpwstr>http://www.zotero.org/styles/vancouver</vt:lpwstr>
  </property>
  <property fmtid="{D5CDD505-2E9C-101B-9397-08002B2CF9AE}" pid="16" name="Mendeley Recent Style Name 6_1">
    <vt:lpwstr>Vancouver</vt:lpwstr>
  </property>
  <property fmtid="{D5CDD505-2E9C-101B-9397-08002B2CF9AE}" pid="17" name="Mendeley Recent Style Id 7_1">
    <vt:lpwstr>http://www.zotero.org/styles/vancouver-brackets</vt:lpwstr>
  </property>
  <property fmtid="{D5CDD505-2E9C-101B-9397-08002B2CF9AE}" pid="18" name="Mendeley Recent Style Name 7_1">
    <vt:lpwstr>Vancouver (brackets)</vt:lpwstr>
  </property>
  <property fmtid="{D5CDD505-2E9C-101B-9397-08002B2CF9AE}" pid="19" name="Mendeley Recent Style Id 8_1">
    <vt:lpwstr>http://www.zotero.org/styles/vancouver-superscript</vt:lpwstr>
  </property>
  <property fmtid="{D5CDD505-2E9C-101B-9397-08002B2CF9AE}" pid="20" name="Mendeley Recent Style Name 8_1">
    <vt:lpwstr>Vancouver (superscript)</vt:lpwstr>
  </property>
  <property fmtid="{D5CDD505-2E9C-101B-9397-08002B2CF9AE}" pid="21" name="Mendeley Recent Style Id 9_1">
    <vt:lpwstr>http://www.zotero.org/styles/vancouver-superscript-brackets-only-year</vt:lpwstr>
  </property>
  <property fmtid="{D5CDD505-2E9C-101B-9397-08002B2CF9AE}" pid="22" name="Mendeley Recent Style Name 9_1">
    <vt:lpwstr>Vancouver (superscript, brackets, only year in date)</vt:lpwstr>
  </property>
  <property fmtid="{D5CDD505-2E9C-101B-9397-08002B2CF9AE}" pid="23" name="Mendeley Document_1">
    <vt:lpwstr>True</vt:lpwstr>
  </property>
  <property fmtid="{D5CDD505-2E9C-101B-9397-08002B2CF9AE}" pid="24" name="Mendeley Unique User Id_1">
    <vt:lpwstr>cbef75c1-0f44-3237-a246-902bd6e10ae5</vt:lpwstr>
  </property>
  <property fmtid="{D5CDD505-2E9C-101B-9397-08002B2CF9AE}" pid="25" name="Mendeley Citation Style_1">
    <vt:lpwstr>http://www.zotero.org/styles/vancouver-brackets</vt:lpwstr>
  </property>
</Properties>
</file>